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83" w:rsidRPr="00B27535" w:rsidRDefault="0047599C" w:rsidP="001B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535">
        <w:rPr>
          <w:rFonts w:ascii="Times New Roman" w:hAnsi="Times New Roman" w:cs="Times New Roman"/>
          <w:b/>
          <w:sz w:val="28"/>
          <w:szCs w:val="28"/>
        </w:rPr>
        <w:t>ТЕПЛОФІЗИЧНІ ПРОЦЕСИ</w:t>
      </w:r>
    </w:p>
    <w:p w:rsidR="009C1C93" w:rsidRDefault="009C1C93" w:rsidP="008461BC">
      <w:pPr>
        <w:rPr>
          <w:noProof/>
          <w:lang w:eastAsia="uk-UA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46"/>
        <w:gridCol w:w="8760"/>
      </w:tblGrid>
      <w:tr w:rsidR="003E50EE" w:rsidRPr="00B27535" w:rsidTr="003E50EE">
        <w:tc>
          <w:tcPr>
            <w:tcW w:w="9606" w:type="dxa"/>
            <w:gridSpan w:val="2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Загальна інформація та інтерфейс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При взаємодії FlowSimulation з SolidWorks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Метод скінченних елементів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Тепловий аналіз може бути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Підготовка моделі до аналізу найчастіше зводиться до 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При взаємодії FlowSimulation з SolidWorks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Лінійний коефіцієнт теплового розширення має розмірність (по СІ)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При зміні температури деформація дорівнює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tabs>
                <w:tab w:val="left" w:pos="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Теплові деформації визначаються як напруження в зв’язку зі зміною: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В дереві побудови FeatureManager відображаються: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FlowSimulation рух і теплообмін текучого середовища моделюється за допомогою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Рівняння Нав'є – Стокса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Неньютонівські рідини задаються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Стискувані рідини задаються залежністю їх щільності від тиску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Значення незалежних змінних розраховуються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Область, для якої будується сітка,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має однакову для всіх завдань форму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FlowSimulation чарунки сітки розрахункової області мають форму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Процес побудови розрахункової сітки починається з побудови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Базова сітка утворюється розбивкою простору побудови сітки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 автоматично інтерпретує порожній (не заповнений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тілом) простір моделі як простір,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Залежно від взаємного розташування тіла і рідини (всередині тіла або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зовні) в FlowSimulation всі задачі діляться на</w:t>
            </w:r>
          </w:p>
        </w:tc>
      </w:tr>
      <w:tr w:rsidR="003E50EE" w:rsidRPr="00B27535" w:rsidTr="003E50EE">
        <w:tc>
          <w:tcPr>
            <w:tcW w:w="9606" w:type="dxa"/>
            <w:gridSpan w:val="2"/>
          </w:tcPr>
          <w:p w:rsidR="003E50EE" w:rsidRPr="00B27535" w:rsidRDefault="003E50EE" w:rsidP="003E50EE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Призначення та функціональні можливості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Модуль FlowSimulation в першу чергу призначений для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В модулі  FlowSimulation можна провести розрахунки силового (стаціонарного або нестаціонарного) впливу текучого середовища на обтікаєме ним тіло або його елементи для таких основних випадків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В модулі 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FlowSimulation 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можна провести розрахунки силового (стаціонарного або нестаціонарного) впливу текучого середовища на обтікаєме ним нерухоме тіло або його елементи для таких основних випадків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може бути використаний для широкого кола видів течіння: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FlowSimulation може бути використаний для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може бути використаний для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може бути використаний для широкого кола видів течіння: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може бути використаний для широкого кола видів течіння: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може бути використаний для широкого кола видів течіння: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може бути використаний для широкого кола видів течіння: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В даний час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FlowSimulation не розглядаються: 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Двофазні течії текучого середовища з рідкими або твердими частинками моделюються як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Двофазні течії текучого середовища з рідкими або твердими частинками моделюються як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При визначенні коефіцієнта опору частинок передбачається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До параметрів поверхонь твердих тіл, що контактують з текучим середовищем належать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До параметрів поверхонь твердих тіл, що контактують з текучим середовищем належать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 можна задавати наступні теплофізичні властивості текучих середовищ (газів)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 можна задавати наступні теплофізичні властивості твердих тіл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 можна задавати наступні теплофізичні властивості текучих середовищ (рідин)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Чи можна змінити систему координат після виходу з Wizard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Чи можна створити свою власну систему одиниць у FlowSimulation?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Чи потрібно визначати тверді матеріали, якщо не активована опція теплопровідність в твердих тілах у Wizard?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Опція не враховувати порожнини без умов течіння: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Гравітаційні ефекти можуть бути використані для: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 здатен розраховувати текучі середовища різного типу в одному дослідженні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Змішування текучих середовищ в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Якщо не активована опція теплопровідність у твердих тілах у Wizard, то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Чим ближче початкові параметри у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Wizard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до реальних, тим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 Simulation дозволяє працювати з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В майстрі проекту можна призначити один матеріали для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Heat transfer coefficien для опції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Default outer wall thermal condition дозволяє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Установлення початкової температури максимально близької до очікуваного кінцевого результату дозволяє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 Simulation розраховує значення за замовчуванням для мінімального зазору і мінімального товщини стінки, використовуючи інформацію про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– це один з типів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Об'ємні джерела тепла дозволяють встановити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Поверхневі джерела тепла дозволяють встановити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Поверхневі джерела тепла дозволяють встановити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Якщо параметр Reference увімкнений, то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Equation Goa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ється аналітичною функцією, яка включає в себе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 практиці гідравлічні втрати розділяють на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Для проведення внутрішнього аналізу потрібно, що б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 Check Geometry дозволяє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 Check Geometry дозволяє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Опція  Reference axis of the global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coordinate system використовується для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Опція Adiabatic wall означає, що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Якщо об’єм текучого середовища рівний нулю, то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початку розрахунку Flow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Simulation перевіряє граничні умови на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Що б компонент моделі не розглядався як тверде тіло, необхідно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Перенос тепла пр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ідністю описується законом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Існують наступні типи аналізу теплопередачі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Значення масової витрати може бути перераховане при перевірці граничних умов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Наведена формула дозволяє розрахувати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37905" cy="416368"/>
                  <wp:effectExtent l="0" t="0" r="635" b="3175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924" b="1"/>
                          <a:stretch/>
                        </pic:blipFill>
                        <pic:spPr bwMode="auto">
                          <a:xfrm>
                            <a:off x="0" y="0"/>
                            <a:ext cx="1291802" cy="434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Якщо компопентом через SolidWorks Materials Editor був присвоєний матеріал, то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Існують наступні типи теплопровідності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7535">
              <w:rPr>
                <w:rFonts w:ascii="Times New Roman" w:hAnsi="Times New Roman" w:cs="Times New Roman"/>
                <w:sz w:val="24"/>
              </w:rPr>
              <w:t>Розмірність питомого об’єму в системі СІ: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7535">
              <w:rPr>
                <w:rFonts w:ascii="Times New Roman" w:hAnsi="Times New Roman" w:cs="Times New Roman"/>
                <w:sz w:val="24"/>
              </w:rPr>
              <w:t>Значення температури за шкалою Кельвіна 10 К становить за шкалою Цельсія: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Тиск не вимірюється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7535">
              <w:rPr>
                <w:rFonts w:ascii="Times New Roman" w:hAnsi="Times New Roman" w:cs="Times New Roman"/>
                <w:sz w:val="24"/>
              </w:rPr>
              <w:t xml:space="preserve"> Якщо температурне поле змінюється у часі, теплообмін називається: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Дане зображення вказує на те, що компонент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5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92985" cy="1235075"/>
                  <wp:effectExtent l="0" t="0" r="0" b="3175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Значення на даному рисунку відносяться до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92985" cy="1869440"/>
                  <wp:effectExtent l="0" t="0" r="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Дана команда означає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5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57200" cy="498764"/>
                  <wp:effectExtent l="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728" cy="50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Наведена формула дозволяє розрахувати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92985" cy="389890"/>
                  <wp:effectExtent l="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В інструменті Calculator обчислення проводяться з використаням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Наведена формула дозволяє розрахувати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863194" cy="436797"/>
                  <wp:effectExtent l="0" t="0" r="0" b="1905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13" cy="44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Термічний аналіз може враховувати розподіл температур в тілі через дію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Провідність являє собою механізм перенесення тепла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Конвекція є режимом переносу тепла, при якому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Теплове випромінювання представляє собою теплову енергію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Дана команда означає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5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42925" cy="499491"/>
                  <wp:effectExtent l="0" t="0" r="0" b="0"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00" cy="50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Дана команда означає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5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42950" cy="619125"/>
                  <wp:effectExtent l="0" t="0" r="0" b="9525"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995" cy="62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Існують наступні вихідні параметри рідин у Flow 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Існують наступні функції для перегляду результатів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Дана команда означає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5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42950" cy="826831"/>
                  <wp:effectExtent l="0" t="0" r="0" b="0"/>
                  <wp:docPr id="2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99" cy="82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У розрахункової області можуть бути задані такі теплові джерела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разі зовнішнього обтікання параметри потоку, що набігає, такі як швидкість, тиск, температура та ін. є умовами які називаються.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Виключити порожнини без умов течіння Exclude cavities without flow conditions можна якщо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FlowSimulation можливо виключити з розрахунку порожнини в таких варіантах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Коли змінюється геометрія моделі, FlowSimulation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FlowSimulation здатний аналізувати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За замовчуванням потік вважається</w:t>
            </w:r>
          </w:p>
          <w:p w:rsidR="003E50EE" w:rsidRPr="00B27535" w:rsidRDefault="003E50EE" w:rsidP="003E50E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Опцію Radiation слід вибрати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Опцію Rotation слід вибрати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Опцію Gravity слід вибрати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Залежно від обраного типу задаються особливості течії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Залежно від обраного типу задаються особливості течії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Можливі типи текучого середовища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При вирішенні інженерної задачі за допомогою FlowSimulation можна виділити наступні етапи: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При вирішенні інженерної задачі за допомогою FlowSimulation можна виділити наступні етапи: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При вирішенні інженерної задачі за допомогою FlowSimulation можна виділити 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наступні етапи: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Опція Create a separate goal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for each surface дозволяє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Комбінація команд Remove outer faces та Keep outer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faces and faces in contact with fluid приведе до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Комбінація команд на картинці приведе до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95525" cy="2524125"/>
                  <wp:effectExtent l="19050" t="0" r="9525" b="0"/>
                  <wp:docPr id="3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Flow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Simulation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всі, як стаціонарні, так і нестаціонарні, задачі вирішуються в результаті рішення </w:t>
            </w:r>
          </w:p>
        </w:tc>
      </w:tr>
      <w:tr w:rsidR="003E50EE" w:rsidRPr="00B27535" w:rsidTr="003E50EE">
        <w:tc>
          <w:tcPr>
            <w:tcW w:w="9606" w:type="dxa"/>
            <w:gridSpan w:val="2"/>
          </w:tcPr>
          <w:p w:rsidR="003E50EE" w:rsidRPr="00B27535" w:rsidRDefault="003E50EE" w:rsidP="003E50EE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Граничні умови у</w:t>
            </w:r>
            <w:r w:rsidRPr="00B275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дослідженнях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Задача граничних умов, тобто умов на межах розрахункової області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FlowSimulation можна встановити такі граничні умови: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До параметрів текучого середовища на вхідних і вихідних отворах моделі належать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До параметрів текучого середовища на вхідних і вихідних отворах моделі належать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Границі тіла в FlowSimulation є граничною умовою для системи "рідина - тіло " називається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 стінках моделі можуть бути задані наступні умови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 стінках моделі можуть бути задані наступні умови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 стінках моделі можуть бути задані наступні умови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 стінках моделі можуть бути задані наступні умови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Шорсткість поверхонь можна встановити використовуючи граничну умову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Для задання шорсткості система використовує параметр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Дана гранична умова означа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що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62175" cy="1228725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44229" r="83929" b="39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Умова Environment Pressure інтерпретується як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Вентилятор можна установити на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Вентилятор можна установити на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Умову симетрії можна задати в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При вказуванні граничної умови Pressure opening значення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Що б установити шорсткість окремої поверхні, потрібно використати умову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Що б установити шорсткість всіх поверхонь, потрібно використати умову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Умови, що задаються у всій розрахунковій області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Умови, що задаються у всій розрахунковій області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Умови, що задаються у всій розрахунковій області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Умови, що задаються у всій розрахунковій області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Параметри на рисунку стосуються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92985" cy="744220"/>
                  <wp:effectExtent l="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Умови, що задаються в локальному об'ємі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Умови, що задаються в локальному об'ємі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Умови, що задаються в локальному об'ємі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Умови, що задаються в локальному об'ємі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Умови, що задаються в локальному об'ємі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Умови, що задаються в локальному об'ємі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 стінках моделі можуть бути задані наступні умови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 стінках моделі можуть бути задані наступні умови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 стінках моделі можуть бути задані наступні умови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 стінках моделі можуть бути задані наступні умови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 стінках моделі можуть бути задані наступні умови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Дана команда означає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00075" cy="504825"/>
                  <wp:effectExtent l="19050" t="0" r="9525" b="0"/>
                  <wp:docPr id="3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9606" w:type="dxa"/>
            <w:gridSpan w:val="2"/>
          </w:tcPr>
          <w:p w:rsidR="003E50EE" w:rsidRPr="00B27535" w:rsidRDefault="003E50EE" w:rsidP="003E50EE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Побудова сітки та точність досліджень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Minimum gap size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Result resolution (Рівень рішення)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Advanced narrow channel refinement (Дроблення сітки в вузьких каналах)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Wall thickness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Збільшення кількості чарунок по осі Х при незмінній обчислювальній області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35835" cy="939286"/>
                  <wp:effectExtent l="0" t="0" r="0" b="0"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40" cy="94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кількості чарунок по осі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при незмінній обчислювальній області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2238375" cy="942975"/>
                  <wp:effectExtent l="19050" t="0" r="9525" b="0"/>
                  <wp:docPr id="2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кількості чарунок по осі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при незмінній обчислювальній області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35835" cy="939286"/>
                  <wp:effectExtent l="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40" cy="94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Advanced narrow channel refinement (Дроблення сітки в вузьких каналах)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У разі двовимірного розрахунку розрахункова область має межами 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Розміри розрахункової області можуть стати неадекватними внаслідок внесення наступних змін у вже створений проект: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Розміри розрахункової області можуть стати неадекватними внаслідок внесення наступних змін у вже створений проект: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При створенні сітки Flow Simulation створює сітку, мінімальна кількість чарунок залежить від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Мінімальна товщина стін повинна вказуватися тільки тоді, коли в моделі: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Активація опції Use for Conv. (Use for  Convergence Control) дозволяє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Якщо Опція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for Conv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обрана, то це означає, що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Ручне введення значення мінімального зазору (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thikness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При високих значеннях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 Resolution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При високих значеннях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 Resolution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Опція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for Conv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Означає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Ручне введення значення мінімального зазору (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minimum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Result Resolution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Кінцево-елементна модель теплопровідності передбачає</w:t>
            </w:r>
          </w:p>
        </w:tc>
      </w:tr>
      <w:tr w:rsidR="003E50EE" w:rsidRPr="00B27535" w:rsidTr="003E50EE">
        <w:tc>
          <w:tcPr>
            <w:tcW w:w="9606" w:type="dxa"/>
            <w:gridSpan w:val="2"/>
          </w:tcPr>
          <w:p w:rsidR="003E50EE" w:rsidRPr="00B27535" w:rsidRDefault="003E50EE" w:rsidP="003E50EE">
            <w:pPr>
              <w:ind w:left="301" w:hanging="30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Пористе середовище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Ефективна пористість пористого середовища визначається як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Для пористих середовищ з одно направленою проникністю потрібно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При створенні умови Porous Medium компонент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Пористе середовище можна застосовувати тільки до компонентів, котрі не розглядаються програмою Flow Simulation як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Тип пористості Isotropic означає, що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Параметр Porosity установлює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 Porous media дозволяє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Моделюються пористі матеріали з наступними типами проникності</w:t>
            </w:r>
          </w:p>
        </w:tc>
      </w:tr>
      <w:tr w:rsidR="003E50EE" w:rsidRPr="00B27535" w:rsidTr="003E50EE">
        <w:tc>
          <w:tcPr>
            <w:tcW w:w="9606" w:type="dxa"/>
            <w:gridSpan w:val="2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Engineering Database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Engineering Database (Інженерна база даних) зберігається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 xml:space="preserve">182. 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Engineering Database (Інженерна база даних) зберігається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Engineering Database (Інженерна база даних) зберігається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Engineering Database (Інженерна база даних) зберігається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Engineering Database (Інженерна база даних) зберігається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Engineering Database (Інженерна база даних) зберігається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Engineering Database (Інженерна база даних) зберігається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Engineering Database (Інженерна база даних) зберігається</w:t>
            </w:r>
          </w:p>
        </w:tc>
      </w:tr>
      <w:tr w:rsidR="003E50EE" w:rsidRPr="00B27535" w:rsidTr="003E50EE">
        <w:tc>
          <w:tcPr>
            <w:tcW w:w="9606" w:type="dxa"/>
            <w:gridSpan w:val="2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Обертові області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Нерухому (в абсолютній системі координат) поверхню стінки можна задати за допомогою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Global Rotating (Глобальне обертання) - 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При цьому 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Local regions (Локальні області) - задавання в деякій частині розрахункової області локальної обертової системи  координат, або кілька таких систем в різних областях.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що б вказати нерухому стінку, потрібно вказати граничну умову на стінці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Наведена гранична умова означає, що стінка, до якої прикладена умова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95525" cy="2257425"/>
                  <wp:effectExtent l="19050" t="0" r="9525" b="0"/>
                  <wp:docPr id="2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Наведена формула дозволяє розрахувати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28800" cy="457200"/>
                  <wp:effectExtent l="19050" t="0" r="0" b="0"/>
                  <wp:docPr id="2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Коли вказується обертова система координат, то вважається, що</w:t>
            </w:r>
          </w:p>
        </w:tc>
      </w:tr>
      <w:tr w:rsidR="003E50EE" w:rsidRPr="00B27535" w:rsidTr="003E50EE">
        <w:tc>
          <w:tcPr>
            <w:tcW w:w="9606" w:type="dxa"/>
            <w:gridSpan w:val="2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Аналіз результатів дослідження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FlowSimulation результати можуть бути представлені такими способами: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FlowSimulation результати можуть бути представлені такими способами: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FlowSimulation результати можуть бути представлені такими способами: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FlowSimulation результати можуть бути представлені такими способами: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FlowSimulation результати можуть бути представлені такими способами: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FlowSimulation результати можуть бути представлені такими способами: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У FlowSimulation s результати можуть бути представлені такими способами: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Видалення даних FlowSimulation з моделі відбувається з видаленням проекту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зберігаються у файлі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Вихідні дані зберігаються у файлі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Дана команда означає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00075" cy="552450"/>
                  <wp:effectExtent l="19050" t="0" r="9525" b="0"/>
                  <wp:docPr id="2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pStyle w:val="a5"/>
              <w:ind w:left="0" w:right="-39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A vortex crosses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the pressure opening говорить, що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pStyle w:val="a5"/>
              <w:ind w:left="0" w:right="-45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8760" w:type="dxa"/>
            <w:shd w:val="clear" w:color="auto" w:fill="auto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Графік цілі Goal Plot дозволяє</w:t>
            </w:r>
          </w:p>
        </w:tc>
      </w:tr>
      <w:tr w:rsidR="003E50EE" w:rsidRPr="00B27535" w:rsidTr="003E50EE">
        <w:trPr>
          <w:trHeight w:val="267"/>
        </w:trPr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8760" w:type="dxa"/>
            <w:shd w:val="clear" w:color="auto" w:fill="auto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Для побудови зміни параметрів вздовж визначених ліній доцільно використовувати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Зберізати траекторії потоку як криві у SolidWork можна використовуючи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8760" w:type="dxa"/>
            <w:tcBorders>
              <w:bottom w:val="nil"/>
            </w:tcBorders>
            <w:shd w:val="clear" w:color="auto" w:fill="auto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Для виявлення трьохвимірних зон, де потік досягає певних значень тиску, швидкості чи інших параметрів доречно використовувати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Траекторію руху потоків можна побачити використовуючи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 даному рисунку зображено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76400" cy="1962150"/>
                  <wp:effectExtent l="1905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Після виконання термічного дослідження можна створити апарати наступних величин: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Після виконання термічного дослідження можна створити апарати наступних величин: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Після виконання термічного дослідження можна створити </w:t>
            </w:r>
            <w:r w:rsidRPr="00B27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епюри</w:t>
            </w: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наступних величин:</w:t>
            </w:r>
          </w:p>
        </w:tc>
      </w:tr>
      <w:tr w:rsidR="003E50EE" w:rsidRPr="00B27535" w:rsidTr="003E50EE">
        <w:tc>
          <w:tcPr>
            <w:tcW w:w="9606" w:type="dxa"/>
            <w:gridSpan w:val="2"/>
          </w:tcPr>
          <w:p w:rsidR="003E50EE" w:rsidRPr="00B27535" w:rsidRDefault="003E50EE" w:rsidP="003E50EE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Зовн</w:t>
            </w: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ішні та внутрішні задачі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Для зовнішніх задач умови, що визначають характеристики набігаючого потоку (умови навколишнього середовища)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Зовнішніми вважаються задачі, в яких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В зовнішніх задачах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Внутрішніми вважаються задачі, у яких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Для всіх внутрішніх задач характерна наявність замкнутої порожнини, обмеженою стінками моделі і кришками, за винятком, коли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Для всіх внутрішніх задач характерна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У внутрішніх задачах 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У внутрішніх задачах </w:t>
            </w:r>
          </w:p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Для всіх внутрішніх задач характерна наявність замкнутої порожнини, обмеженою стінками моделі і кришками, за винятком, коли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використовується умова симетрії або вважається двовимірний розрахунок.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Якщо вирішується зовнішня (External) задача, то початкові умови, які використовуються у всій розрахунковій області, задаються 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Якщо вирішується внутрішня (Internal) задача, то початкові умови, які використовуються у всій розрахунковій області, задаються на (Майстер проектів) або.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E50EE" w:rsidRPr="00B27535" w:rsidTr="003E50EE">
        <w:tc>
          <w:tcPr>
            <w:tcW w:w="9606" w:type="dxa"/>
            <w:gridSpan w:val="2"/>
          </w:tcPr>
          <w:p w:rsidR="003E50EE" w:rsidRPr="00B27535" w:rsidRDefault="003E50EE" w:rsidP="003E50EE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Можливі причини непридатності моделі для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Щоб дізнатися, чи має модель будь-які конфліктні сполучення, можна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скористатися опцією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Можливі причини непридатності моделі для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Можливі причини непридатності моделі для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Можливі причини непридатності моделі для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Можливі причини непридатності моделі для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Можливі причини непридатності моделі для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За допомогою інструменту Check Geometry можна обчислити</w:t>
            </w:r>
          </w:p>
          <w:p w:rsidR="003E50EE" w:rsidRPr="00B27535" w:rsidRDefault="003E50EE" w:rsidP="003E50EE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Можливі причини непридатності моделі для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Можливі причини непридатності моделі для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Можливі причини непридатності моделі для FlowSimulation</w:t>
            </w:r>
          </w:p>
        </w:tc>
      </w:tr>
      <w:tr w:rsidR="003E50EE" w:rsidRPr="00B27535" w:rsidTr="003E50EE">
        <w:tc>
          <w:tcPr>
            <w:tcW w:w="9606" w:type="dxa"/>
            <w:gridSpan w:val="2"/>
          </w:tcPr>
          <w:p w:rsidR="003E50EE" w:rsidRPr="00B27535" w:rsidRDefault="003E50EE" w:rsidP="003E50EE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Project FlowSimulation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Стандартний шаблон FlowSimulation New Project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Стандартний шаблон FlowSimulation New Project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Стандартний шаблон FlowSimulation New Project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Стандартний шаблон FlowSimulation New Project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Проект може бути створений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Проект може бути створений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Проект може бути створений </w:t>
            </w: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 xml:space="preserve">При частій перебудові моделі можна відключити автоматичне оновлення даних FlowSimulation шляхом  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Наступні дії з елементами проекту можливі тільки в Дереві аналізу:</w:t>
            </w:r>
          </w:p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Наступні дії з елементами проекту можливі тільки в Дереві аналізу: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Наступні дії з елементами проекту можливі тільки в Дереві аналізу: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Наступні дії з елементами проекту можливі тільки в Дереві аналізу: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EE" w:rsidRPr="00B27535" w:rsidTr="003E50EE">
        <w:tc>
          <w:tcPr>
            <w:tcW w:w="846" w:type="dxa"/>
          </w:tcPr>
          <w:p w:rsidR="003E50EE" w:rsidRPr="00B27535" w:rsidRDefault="003E50EE" w:rsidP="003E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35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8760" w:type="dxa"/>
          </w:tcPr>
          <w:p w:rsidR="003E50EE" w:rsidRPr="00B27535" w:rsidRDefault="003E50EE" w:rsidP="003E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535">
              <w:rPr>
                <w:rFonts w:ascii="Times New Roman" w:hAnsi="Times New Roman" w:cs="Times New Roman"/>
                <w:sz w:val="24"/>
                <w:szCs w:val="24"/>
              </w:rPr>
              <w:t>Наступні дії з елементами проекту можливі тільки в Дереві аналізу:</w:t>
            </w:r>
          </w:p>
          <w:p w:rsidR="003E50EE" w:rsidRPr="00B27535" w:rsidRDefault="003E50EE" w:rsidP="003E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0EE" w:rsidRPr="00B27535" w:rsidRDefault="003E50EE" w:rsidP="00654AC7">
      <w:pPr>
        <w:jc w:val="center"/>
        <w:rPr>
          <w:noProof/>
          <w:lang w:eastAsia="uk-UA"/>
        </w:rPr>
      </w:pPr>
    </w:p>
    <w:sectPr w:rsidR="003E50EE" w:rsidRPr="00B27535" w:rsidSect="00BE49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50" w:rsidRDefault="00B36250" w:rsidP="00D65CFA">
      <w:pPr>
        <w:spacing w:after="0" w:line="240" w:lineRule="auto"/>
      </w:pPr>
      <w:r>
        <w:separator/>
      </w:r>
    </w:p>
  </w:endnote>
  <w:endnote w:type="continuationSeparator" w:id="0">
    <w:p w:rsidR="00B36250" w:rsidRDefault="00B36250" w:rsidP="00D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50" w:rsidRDefault="00B36250" w:rsidP="00D65CFA">
      <w:pPr>
        <w:spacing w:after="0" w:line="240" w:lineRule="auto"/>
      </w:pPr>
      <w:r>
        <w:separator/>
      </w:r>
    </w:p>
  </w:footnote>
  <w:footnote w:type="continuationSeparator" w:id="0">
    <w:p w:rsidR="00B36250" w:rsidRDefault="00B36250" w:rsidP="00D6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AC4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01C7B"/>
    <w:multiLevelType w:val="hybridMultilevel"/>
    <w:tmpl w:val="AAD4F52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2417B"/>
    <w:multiLevelType w:val="hybridMultilevel"/>
    <w:tmpl w:val="9CD299C6"/>
    <w:lvl w:ilvl="0" w:tplc="337A31A6">
      <w:start w:val="1"/>
      <w:numFmt w:val="russianUpper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36F688A"/>
    <w:multiLevelType w:val="hybridMultilevel"/>
    <w:tmpl w:val="6FC207A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A0E1F"/>
    <w:multiLevelType w:val="hybridMultilevel"/>
    <w:tmpl w:val="C088B44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C34DD"/>
    <w:multiLevelType w:val="hybridMultilevel"/>
    <w:tmpl w:val="7E8C57B2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041B31C5"/>
    <w:multiLevelType w:val="hybridMultilevel"/>
    <w:tmpl w:val="0FC0893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32049"/>
    <w:multiLevelType w:val="hybridMultilevel"/>
    <w:tmpl w:val="7E5E765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F3941"/>
    <w:multiLevelType w:val="hybridMultilevel"/>
    <w:tmpl w:val="1158A1E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15681"/>
    <w:multiLevelType w:val="hybridMultilevel"/>
    <w:tmpl w:val="BA281AE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B4E80"/>
    <w:multiLevelType w:val="hybridMultilevel"/>
    <w:tmpl w:val="69FE9362"/>
    <w:lvl w:ilvl="0" w:tplc="F38A78F6">
      <w:start w:val="1"/>
      <w:numFmt w:val="russianUpper"/>
      <w:lvlText w:val="%1."/>
      <w:lvlJc w:val="left"/>
      <w:pPr>
        <w:ind w:left="9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0AAA4CFA"/>
    <w:multiLevelType w:val="hybridMultilevel"/>
    <w:tmpl w:val="7A2C45F8"/>
    <w:lvl w:ilvl="0" w:tplc="BDF01286">
      <w:start w:val="1"/>
      <w:numFmt w:val="russianUpper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105423F1"/>
    <w:multiLevelType w:val="hybridMultilevel"/>
    <w:tmpl w:val="1F64C4D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203D5"/>
    <w:multiLevelType w:val="hybridMultilevel"/>
    <w:tmpl w:val="67FA6BB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1A77A52"/>
    <w:multiLevelType w:val="hybridMultilevel"/>
    <w:tmpl w:val="E7D0D7DA"/>
    <w:lvl w:ilvl="0" w:tplc="5DF87140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54E32"/>
    <w:multiLevelType w:val="hybridMultilevel"/>
    <w:tmpl w:val="34400CB8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5254A"/>
    <w:multiLevelType w:val="hybridMultilevel"/>
    <w:tmpl w:val="76B6B87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13FD7D30"/>
    <w:multiLevelType w:val="hybridMultilevel"/>
    <w:tmpl w:val="B8F07FA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D08AC"/>
    <w:multiLevelType w:val="hybridMultilevel"/>
    <w:tmpl w:val="C7C6888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86658C"/>
    <w:multiLevelType w:val="hybridMultilevel"/>
    <w:tmpl w:val="E1786D6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57220E"/>
    <w:multiLevelType w:val="hybridMultilevel"/>
    <w:tmpl w:val="6CC092F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DD2B9D"/>
    <w:multiLevelType w:val="hybridMultilevel"/>
    <w:tmpl w:val="C9044C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E25C97"/>
    <w:multiLevelType w:val="hybridMultilevel"/>
    <w:tmpl w:val="8F564258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D71E8E"/>
    <w:multiLevelType w:val="hybridMultilevel"/>
    <w:tmpl w:val="D0A004E2"/>
    <w:lvl w:ilvl="0" w:tplc="F38A78F6">
      <w:start w:val="1"/>
      <w:numFmt w:val="russianUpper"/>
      <w:lvlText w:val="%1."/>
      <w:lvlJc w:val="left"/>
      <w:pPr>
        <w:ind w:left="72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>
    <w:nsid w:val="19DC3A24"/>
    <w:multiLevelType w:val="hybridMultilevel"/>
    <w:tmpl w:val="5A7CB4DC"/>
    <w:lvl w:ilvl="0" w:tplc="337A31A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B0956FD"/>
    <w:multiLevelType w:val="hybridMultilevel"/>
    <w:tmpl w:val="BF3E4844"/>
    <w:lvl w:ilvl="0" w:tplc="F38A78F6">
      <w:start w:val="1"/>
      <w:numFmt w:val="russianUpper"/>
      <w:lvlText w:val="%1."/>
      <w:lvlJc w:val="left"/>
      <w:pPr>
        <w:ind w:left="85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6">
    <w:nsid w:val="1C093E0D"/>
    <w:multiLevelType w:val="hybridMultilevel"/>
    <w:tmpl w:val="7D5C990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1577D4"/>
    <w:multiLevelType w:val="hybridMultilevel"/>
    <w:tmpl w:val="B0A2C29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44CDE"/>
    <w:multiLevelType w:val="hybridMultilevel"/>
    <w:tmpl w:val="3738CDD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DA0FD6"/>
    <w:multiLevelType w:val="hybridMultilevel"/>
    <w:tmpl w:val="63F64B4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2155633D"/>
    <w:multiLevelType w:val="hybridMultilevel"/>
    <w:tmpl w:val="DD56DF26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7252DF"/>
    <w:multiLevelType w:val="hybridMultilevel"/>
    <w:tmpl w:val="E2A6751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F29E7"/>
    <w:multiLevelType w:val="hybridMultilevel"/>
    <w:tmpl w:val="989AC6EA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2736AF"/>
    <w:multiLevelType w:val="hybridMultilevel"/>
    <w:tmpl w:val="4FB433C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2C0615"/>
    <w:multiLevelType w:val="hybridMultilevel"/>
    <w:tmpl w:val="F63AC3B4"/>
    <w:lvl w:ilvl="0" w:tplc="337A31A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7C5F17"/>
    <w:multiLevelType w:val="hybridMultilevel"/>
    <w:tmpl w:val="836416E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C600B0"/>
    <w:multiLevelType w:val="hybridMultilevel"/>
    <w:tmpl w:val="FC1A159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403900"/>
    <w:multiLevelType w:val="hybridMultilevel"/>
    <w:tmpl w:val="D07A5A36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29474828"/>
    <w:multiLevelType w:val="hybridMultilevel"/>
    <w:tmpl w:val="E3C815E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EA0221"/>
    <w:multiLevelType w:val="hybridMultilevel"/>
    <w:tmpl w:val="7EBC83D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4B11A4"/>
    <w:multiLevelType w:val="hybridMultilevel"/>
    <w:tmpl w:val="D1AE8568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>
    <w:nsid w:val="2F800CD5"/>
    <w:multiLevelType w:val="hybridMultilevel"/>
    <w:tmpl w:val="08CCC62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E5968"/>
    <w:multiLevelType w:val="hybridMultilevel"/>
    <w:tmpl w:val="85F6B406"/>
    <w:lvl w:ilvl="0" w:tplc="337A31A6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15B28DA"/>
    <w:multiLevelType w:val="hybridMultilevel"/>
    <w:tmpl w:val="F552CB0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935CA9"/>
    <w:multiLevelType w:val="hybridMultilevel"/>
    <w:tmpl w:val="443C44EA"/>
    <w:lvl w:ilvl="0" w:tplc="F38A78F6">
      <w:start w:val="1"/>
      <w:numFmt w:val="russianUpper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5">
    <w:nsid w:val="333F35FA"/>
    <w:multiLevelType w:val="hybridMultilevel"/>
    <w:tmpl w:val="E4264488"/>
    <w:lvl w:ilvl="0" w:tplc="337A31A6">
      <w:start w:val="1"/>
      <w:numFmt w:val="russianUpper"/>
      <w:lvlText w:val="%1."/>
      <w:lvlJc w:val="left"/>
      <w:pPr>
        <w:ind w:left="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6">
    <w:nsid w:val="37C542D8"/>
    <w:multiLevelType w:val="hybridMultilevel"/>
    <w:tmpl w:val="B6BA7DC4"/>
    <w:lvl w:ilvl="0" w:tplc="407A0DCC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CF1E21"/>
    <w:multiLevelType w:val="hybridMultilevel"/>
    <w:tmpl w:val="30A4681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AC3515"/>
    <w:multiLevelType w:val="hybridMultilevel"/>
    <w:tmpl w:val="4DF404E6"/>
    <w:lvl w:ilvl="0" w:tplc="DA881808">
      <w:start w:val="1"/>
      <w:numFmt w:val="russianUpper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>
    <w:nsid w:val="3ADA02C1"/>
    <w:multiLevelType w:val="hybridMultilevel"/>
    <w:tmpl w:val="AFC47998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96781A"/>
    <w:multiLevelType w:val="hybridMultilevel"/>
    <w:tmpl w:val="8ACE8150"/>
    <w:lvl w:ilvl="0" w:tplc="F38A78F6">
      <w:start w:val="1"/>
      <w:numFmt w:val="russianUpper"/>
      <w:lvlText w:val="%1."/>
      <w:lvlJc w:val="left"/>
      <w:pPr>
        <w:ind w:left="79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>
    <w:nsid w:val="3CFF48FD"/>
    <w:multiLevelType w:val="hybridMultilevel"/>
    <w:tmpl w:val="C18CADB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356218"/>
    <w:multiLevelType w:val="hybridMultilevel"/>
    <w:tmpl w:val="F94EDA22"/>
    <w:lvl w:ilvl="0" w:tplc="F38A78F6">
      <w:start w:val="1"/>
      <w:numFmt w:val="russianUpper"/>
      <w:lvlText w:val="%1."/>
      <w:lvlJc w:val="left"/>
      <w:pPr>
        <w:ind w:left="185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416458EF"/>
    <w:multiLevelType w:val="hybridMultilevel"/>
    <w:tmpl w:val="1908A7D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155970"/>
    <w:multiLevelType w:val="hybridMultilevel"/>
    <w:tmpl w:val="C37E478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2A169C"/>
    <w:multiLevelType w:val="hybridMultilevel"/>
    <w:tmpl w:val="2D3A79D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B428BC"/>
    <w:multiLevelType w:val="hybridMultilevel"/>
    <w:tmpl w:val="FCB43DC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077197"/>
    <w:multiLevelType w:val="hybridMultilevel"/>
    <w:tmpl w:val="AE965FAC"/>
    <w:lvl w:ilvl="0" w:tplc="337A31A6">
      <w:start w:val="1"/>
      <w:numFmt w:val="russianUpper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AB1ACB"/>
    <w:multiLevelType w:val="hybridMultilevel"/>
    <w:tmpl w:val="171AC95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294B3D"/>
    <w:multiLevelType w:val="hybridMultilevel"/>
    <w:tmpl w:val="71F8CF0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4E65D3"/>
    <w:multiLevelType w:val="hybridMultilevel"/>
    <w:tmpl w:val="4150E45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B94AFE"/>
    <w:multiLevelType w:val="hybridMultilevel"/>
    <w:tmpl w:val="829AACC4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8565EF"/>
    <w:multiLevelType w:val="hybridMultilevel"/>
    <w:tmpl w:val="84066E1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1F38AE"/>
    <w:multiLevelType w:val="hybridMultilevel"/>
    <w:tmpl w:val="31BA2A4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20493E"/>
    <w:multiLevelType w:val="hybridMultilevel"/>
    <w:tmpl w:val="14D8FE5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8B3528"/>
    <w:multiLevelType w:val="hybridMultilevel"/>
    <w:tmpl w:val="FBBAD2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991837"/>
    <w:multiLevelType w:val="hybridMultilevel"/>
    <w:tmpl w:val="4DC27036"/>
    <w:lvl w:ilvl="0" w:tplc="337A31A6">
      <w:start w:val="1"/>
      <w:numFmt w:val="russianUpper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F35634C"/>
    <w:multiLevelType w:val="hybridMultilevel"/>
    <w:tmpl w:val="53901D4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632130"/>
    <w:multiLevelType w:val="hybridMultilevel"/>
    <w:tmpl w:val="C05C061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C17AF7"/>
    <w:multiLevelType w:val="hybridMultilevel"/>
    <w:tmpl w:val="5C78F1D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2C7C30"/>
    <w:multiLevelType w:val="hybridMultilevel"/>
    <w:tmpl w:val="5B2C176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AF33D8"/>
    <w:multiLevelType w:val="hybridMultilevel"/>
    <w:tmpl w:val="6C0CA2A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3C31C0"/>
    <w:multiLevelType w:val="hybridMultilevel"/>
    <w:tmpl w:val="A26CACB4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3E752E"/>
    <w:multiLevelType w:val="hybridMultilevel"/>
    <w:tmpl w:val="371487EE"/>
    <w:lvl w:ilvl="0" w:tplc="32868CA4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A54FDC"/>
    <w:multiLevelType w:val="hybridMultilevel"/>
    <w:tmpl w:val="EACE801A"/>
    <w:lvl w:ilvl="0" w:tplc="FD8C863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D454A3"/>
    <w:multiLevelType w:val="hybridMultilevel"/>
    <w:tmpl w:val="8792623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8627B8"/>
    <w:multiLevelType w:val="hybridMultilevel"/>
    <w:tmpl w:val="EBE09E0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A22B9A"/>
    <w:multiLevelType w:val="hybridMultilevel"/>
    <w:tmpl w:val="C86E9C9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DF1B57"/>
    <w:multiLevelType w:val="hybridMultilevel"/>
    <w:tmpl w:val="FA7E5000"/>
    <w:lvl w:ilvl="0" w:tplc="337A31A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694DC6"/>
    <w:multiLevelType w:val="hybridMultilevel"/>
    <w:tmpl w:val="BE2C1A7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83389A"/>
    <w:multiLevelType w:val="hybridMultilevel"/>
    <w:tmpl w:val="589835E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5F2455"/>
    <w:multiLevelType w:val="hybridMultilevel"/>
    <w:tmpl w:val="0AA2257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7A26C7"/>
    <w:multiLevelType w:val="hybridMultilevel"/>
    <w:tmpl w:val="97F6368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515B84"/>
    <w:multiLevelType w:val="hybridMultilevel"/>
    <w:tmpl w:val="3D30DC6E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B97F6E"/>
    <w:multiLevelType w:val="hybridMultilevel"/>
    <w:tmpl w:val="DC0C31E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ED0AD6"/>
    <w:multiLevelType w:val="hybridMultilevel"/>
    <w:tmpl w:val="AF340FBA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E745BF"/>
    <w:multiLevelType w:val="hybridMultilevel"/>
    <w:tmpl w:val="F344F8D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0F5E60"/>
    <w:multiLevelType w:val="hybridMultilevel"/>
    <w:tmpl w:val="972C0AB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C171AC"/>
    <w:multiLevelType w:val="hybridMultilevel"/>
    <w:tmpl w:val="22CC638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0245C2"/>
    <w:multiLevelType w:val="hybridMultilevel"/>
    <w:tmpl w:val="CA4EB45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AE0227"/>
    <w:multiLevelType w:val="hybridMultilevel"/>
    <w:tmpl w:val="DE1C66C6"/>
    <w:lvl w:ilvl="0" w:tplc="5A1C5F76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D54C07"/>
    <w:multiLevelType w:val="hybridMultilevel"/>
    <w:tmpl w:val="E30002C2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33422C"/>
    <w:multiLevelType w:val="hybridMultilevel"/>
    <w:tmpl w:val="BA1E982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EF6D5C"/>
    <w:multiLevelType w:val="hybridMultilevel"/>
    <w:tmpl w:val="70284918"/>
    <w:lvl w:ilvl="0" w:tplc="F38A78F6">
      <w:start w:val="1"/>
      <w:numFmt w:val="russianUpper"/>
      <w:lvlText w:val="%1."/>
      <w:lvlJc w:val="left"/>
      <w:pPr>
        <w:ind w:left="7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4">
    <w:nsid w:val="6C537FA4"/>
    <w:multiLevelType w:val="hybridMultilevel"/>
    <w:tmpl w:val="361E8CE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680467"/>
    <w:multiLevelType w:val="hybridMultilevel"/>
    <w:tmpl w:val="2982E5D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431C7A"/>
    <w:multiLevelType w:val="hybridMultilevel"/>
    <w:tmpl w:val="6C845F60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0E0F22"/>
    <w:multiLevelType w:val="hybridMultilevel"/>
    <w:tmpl w:val="659A22BA"/>
    <w:lvl w:ilvl="0" w:tplc="F38A78F6">
      <w:start w:val="1"/>
      <w:numFmt w:val="russianUpper"/>
      <w:lvlText w:val="%1."/>
      <w:lvlJc w:val="left"/>
      <w:pPr>
        <w:ind w:left="3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3B4E5D"/>
    <w:multiLevelType w:val="hybridMultilevel"/>
    <w:tmpl w:val="FB9E6E4C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1169D0"/>
    <w:multiLevelType w:val="hybridMultilevel"/>
    <w:tmpl w:val="8564ED9A"/>
    <w:lvl w:ilvl="0" w:tplc="DA88180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9167D"/>
    <w:multiLevelType w:val="hybridMultilevel"/>
    <w:tmpl w:val="F11204CA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5B56769"/>
    <w:multiLevelType w:val="hybridMultilevel"/>
    <w:tmpl w:val="0C0C99F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79B3623"/>
    <w:multiLevelType w:val="hybridMultilevel"/>
    <w:tmpl w:val="F4B20F9A"/>
    <w:lvl w:ilvl="0" w:tplc="EA8C9EE2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B664D7"/>
    <w:multiLevelType w:val="hybridMultilevel"/>
    <w:tmpl w:val="8C609F2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92B4507"/>
    <w:multiLevelType w:val="hybridMultilevel"/>
    <w:tmpl w:val="E518896E"/>
    <w:lvl w:ilvl="0" w:tplc="337A31A6">
      <w:start w:val="1"/>
      <w:numFmt w:val="russianUpper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5">
    <w:nsid w:val="793668F4"/>
    <w:multiLevelType w:val="hybridMultilevel"/>
    <w:tmpl w:val="3AD44A9C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B72191"/>
    <w:multiLevelType w:val="hybridMultilevel"/>
    <w:tmpl w:val="FBAC95F6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413263"/>
    <w:multiLevelType w:val="hybridMultilevel"/>
    <w:tmpl w:val="95AEE398"/>
    <w:lvl w:ilvl="0" w:tplc="337A31A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CD453A"/>
    <w:multiLevelType w:val="hybridMultilevel"/>
    <w:tmpl w:val="0100A636"/>
    <w:lvl w:ilvl="0" w:tplc="07A0E390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0444D6"/>
    <w:multiLevelType w:val="hybridMultilevel"/>
    <w:tmpl w:val="09988150"/>
    <w:lvl w:ilvl="0" w:tplc="F38A78F6">
      <w:start w:val="1"/>
      <w:numFmt w:val="russianUpp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96"/>
  </w:num>
  <w:num w:numId="3">
    <w:abstractNumId w:val="63"/>
  </w:num>
  <w:num w:numId="4">
    <w:abstractNumId w:val="29"/>
  </w:num>
  <w:num w:numId="5">
    <w:abstractNumId w:val="104"/>
  </w:num>
  <w:num w:numId="6">
    <w:abstractNumId w:val="13"/>
  </w:num>
  <w:num w:numId="7">
    <w:abstractNumId w:val="5"/>
  </w:num>
  <w:num w:numId="8">
    <w:abstractNumId w:val="40"/>
  </w:num>
  <w:num w:numId="9">
    <w:abstractNumId w:val="64"/>
  </w:num>
  <w:num w:numId="10">
    <w:abstractNumId w:val="101"/>
  </w:num>
  <w:num w:numId="11">
    <w:abstractNumId w:val="51"/>
  </w:num>
  <w:num w:numId="12">
    <w:abstractNumId w:val="71"/>
  </w:num>
  <w:num w:numId="13">
    <w:abstractNumId w:val="36"/>
  </w:num>
  <w:num w:numId="14">
    <w:abstractNumId w:val="87"/>
  </w:num>
  <w:num w:numId="15">
    <w:abstractNumId w:val="100"/>
  </w:num>
  <w:num w:numId="16">
    <w:abstractNumId w:val="88"/>
  </w:num>
  <w:num w:numId="17">
    <w:abstractNumId w:val="3"/>
  </w:num>
  <w:num w:numId="18">
    <w:abstractNumId w:val="73"/>
  </w:num>
  <w:num w:numId="19">
    <w:abstractNumId w:val="90"/>
  </w:num>
  <w:num w:numId="20">
    <w:abstractNumId w:val="86"/>
  </w:num>
  <w:num w:numId="21">
    <w:abstractNumId w:val="19"/>
  </w:num>
  <w:num w:numId="22">
    <w:abstractNumId w:val="27"/>
  </w:num>
  <w:num w:numId="23">
    <w:abstractNumId w:val="107"/>
  </w:num>
  <w:num w:numId="24">
    <w:abstractNumId w:val="84"/>
  </w:num>
  <w:num w:numId="25">
    <w:abstractNumId w:val="89"/>
  </w:num>
  <w:num w:numId="26">
    <w:abstractNumId w:val="77"/>
  </w:num>
  <w:num w:numId="27">
    <w:abstractNumId w:val="58"/>
  </w:num>
  <w:num w:numId="28">
    <w:abstractNumId w:val="54"/>
  </w:num>
  <w:num w:numId="29">
    <w:abstractNumId w:val="33"/>
  </w:num>
  <w:num w:numId="30">
    <w:abstractNumId w:val="7"/>
  </w:num>
  <w:num w:numId="31">
    <w:abstractNumId w:val="9"/>
  </w:num>
  <w:num w:numId="32">
    <w:abstractNumId w:val="1"/>
  </w:num>
  <w:num w:numId="33">
    <w:abstractNumId w:val="56"/>
  </w:num>
  <w:num w:numId="34">
    <w:abstractNumId w:val="20"/>
  </w:num>
  <w:num w:numId="35">
    <w:abstractNumId w:val="47"/>
  </w:num>
  <w:num w:numId="36">
    <w:abstractNumId w:val="65"/>
  </w:num>
  <w:num w:numId="37">
    <w:abstractNumId w:val="68"/>
  </w:num>
  <w:num w:numId="38">
    <w:abstractNumId w:val="95"/>
  </w:num>
  <w:num w:numId="39">
    <w:abstractNumId w:val="62"/>
  </w:num>
  <w:num w:numId="40">
    <w:abstractNumId w:val="91"/>
  </w:num>
  <w:num w:numId="41">
    <w:abstractNumId w:val="92"/>
  </w:num>
  <w:num w:numId="42">
    <w:abstractNumId w:val="26"/>
  </w:num>
  <w:num w:numId="43">
    <w:abstractNumId w:val="31"/>
  </w:num>
  <w:num w:numId="44">
    <w:abstractNumId w:val="69"/>
  </w:num>
  <w:num w:numId="45">
    <w:abstractNumId w:val="75"/>
  </w:num>
  <w:num w:numId="46">
    <w:abstractNumId w:val="4"/>
  </w:num>
  <w:num w:numId="47">
    <w:abstractNumId w:val="41"/>
  </w:num>
  <w:num w:numId="48">
    <w:abstractNumId w:val="35"/>
  </w:num>
  <w:num w:numId="49">
    <w:abstractNumId w:val="43"/>
  </w:num>
  <w:num w:numId="50">
    <w:abstractNumId w:val="38"/>
  </w:num>
  <w:num w:numId="51">
    <w:abstractNumId w:val="67"/>
  </w:num>
  <w:num w:numId="52">
    <w:abstractNumId w:val="82"/>
  </w:num>
  <w:num w:numId="53">
    <w:abstractNumId w:val="80"/>
  </w:num>
  <w:num w:numId="54">
    <w:abstractNumId w:val="70"/>
  </w:num>
  <w:num w:numId="55">
    <w:abstractNumId w:val="53"/>
  </w:num>
  <w:num w:numId="56">
    <w:abstractNumId w:val="37"/>
  </w:num>
  <w:num w:numId="57">
    <w:abstractNumId w:val="102"/>
  </w:num>
  <w:num w:numId="58">
    <w:abstractNumId w:val="34"/>
  </w:num>
  <w:num w:numId="59">
    <w:abstractNumId w:val="78"/>
  </w:num>
  <w:num w:numId="60">
    <w:abstractNumId w:val="99"/>
  </w:num>
  <w:num w:numId="61">
    <w:abstractNumId w:val="48"/>
  </w:num>
  <w:num w:numId="62">
    <w:abstractNumId w:val="15"/>
  </w:num>
  <w:num w:numId="63">
    <w:abstractNumId w:val="98"/>
  </w:num>
  <w:num w:numId="64">
    <w:abstractNumId w:val="16"/>
  </w:num>
  <w:num w:numId="65">
    <w:abstractNumId w:val="2"/>
  </w:num>
  <w:num w:numId="66">
    <w:abstractNumId w:val="59"/>
  </w:num>
  <w:num w:numId="67">
    <w:abstractNumId w:val="74"/>
  </w:num>
  <w:num w:numId="68">
    <w:abstractNumId w:val="49"/>
  </w:num>
  <w:num w:numId="69">
    <w:abstractNumId w:val="50"/>
  </w:num>
  <w:num w:numId="70">
    <w:abstractNumId w:val="85"/>
  </w:num>
  <w:num w:numId="71">
    <w:abstractNumId w:val="14"/>
  </w:num>
  <w:num w:numId="72">
    <w:abstractNumId w:val="97"/>
  </w:num>
  <w:num w:numId="73">
    <w:abstractNumId w:val="52"/>
  </w:num>
  <w:num w:numId="74">
    <w:abstractNumId w:val="25"/>
  </w:num>
  <w:num w:numId="75">
    <w:abstractNumId w:val="72"/>
  </w:num>
  <w:num w:numId="76">
    <w:abstractNumId w:val="93"/>
  </w:num>
  <w:num w:numId="77">
    <w:abstractNumId w:val="23"/>
  </w:num>
  <w:num w:numId="78">
    <w:abstractNumId w:val="109"/>
  </w:num>
  <w:num w:numId="79">
    <w:abstractNumId w:val="22"/>
  </w:num>
  <w:num w:numId="80">
    <w:abstractNumId w:val="32"/>
  </w:num>
  <w:num w:numId="81">
    <w:abstractNumId w:val="108"/>
  </w:num>
  <w:num w:numId="82">
    <w:abstractNumId w:val="17"/>
  </w:num>
  <w:num w:numId="83">
    <w:abstractNumId w:val="30"/>
  </w:num>
  <w:num w:numId="84">
    <w:abstractNumId w:val="60"/>
  </w:num>
  <w:num w:numId="85">
    <w:abstractNumId w:val="83"/>
  </w:num>
  <w:num w:numId="86">
    <w:abstractNumId w:val="57"/>
  </w:num>
  <w:num w:numId="87">
    <w:abstractNumId w:val="103"/>
  </w:num>
  <w:num w:numId="88">
    <w:abstractNumId w:val="61"/>
  </w:num>
  <w:num w:numId="89">
    <w:abstractNumId w:val="46"/>
  </w:num>
  <w:num w:numId="90">
    <w:abstractNumId w:val="11"/>
  </w:num>
  <w:num w:numId="91">
    <w:abstractNumId w:val="39"/>
  </w:num>
  <w:num w:numId="92">
    <w:abstractNumId w:val="10"/>
  </w:num>
  <w:num w:numId="93">
    <w:abstractNumId w:val="8"/>
  </w:num>
  <w:num w:numId="94">
    <w:abstractNumId w:val="44"/>
  </w:num>
  <w:num w:numId="95">
    <w:abstractNumId w:val="0"/>
  </w:num>
  <w:num w:numId="96">
    <w:abstractNumId w:val="105"/>
  </w:num>
  <w:num w:numId="97">
    <w:abstractNumId w:val="12"/>
  </w:num>
  <w:num w:numId="98">
    <w:abstractNumId w:val="18"/>
  </w:num>
  <w:num w:numId="99">
    <w:abstractNumId w:val="28"/>
  </w:num>
  <w:num w:numId="100">
    <w:abstractNumId w:val="94"/>
  </w:num>
  <w:num w:numId="101">
    <w:abstractNumId w:val="81"/>
  </w:num>
  <w:num w:numId="102">
    <w:abstractNumId w:val="45"/>
  </w:num>
  <w:num w:numId="103">
    <w:abstractNumId w:val="106"/>
  </w:num>
  <w:num w:numId="104">
    <w:abstractNumId w:val="55"/>
  </w:num>
  <w:num w:numId="105">
    <w:abstractNumId w:val="76"/>
  </w:num>
  <w:num w:numId="106">
    <w:abstractNumId w:val="66"/>
  </w:num>
  <w:num w:numId="107">
    <w:abstractNumId w:val="21"/>
  </w:num>
  <w:num w:numId="108">
    <w:abstractNumId w:val="24"/>
  </w:num>
  <w:num w:numId="109">
    <w:abstractNumId w:val="42"/>
  </w:num>
  <w:num w:numId="110">
    <w:abstractNumId w:val="6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C7"/>
    <w:rsid w:val="0000501F"/>
    <w:rsid w:val="000074EB"/>
    <w:rsid w:val="00013EA5"/>
    <w:rsid w:val="00041408"/>
    <w:rsid w:val="00041795"/>
    <w:rsid w:val="00041FE6"/>
    <w:rsid w:val="00043CAB"/>
    <w:rsid w:val="000452DE"/>
    <w:rsid w:val="000462C8"/>
    <w:rsid w:val="0007192F"/>
    <w:rsid w:val="00072AA6"/>
    <w:rsid w:val="00077E3C"/>
    <w:rsid w:val="000852A3"/>
    <w:rsid w:val="0009591C"/>
    <w:rsid w:val="000A5AA2"/>
    <w:rsid w:val="000B09CD"/>
    <w:rsid w:val="000B3C23"/>
    <w:rsid w:val="000B77A9"/>
    <w:rsid w:val="000C05FA"/>
    <w:rsid w:val="000C4AB1"/>
    <w:rsid w:val="000C7206"/>
    <w:rsid w:val="000C7A6E"/>
    <w:rsid w:val="000D483F"/>
    <w:rsid w:val="000E5E63"/>
    <w:rsid w:val="000F0E25"/>
    <w:rsid w:val="000F0F43"/>
    <w:rsid w:val="00122461"/>
    <w:rsid w:val="0016174D"/>
    <w:rsid w:val="0016176E"/>
    <w:rsid w:val="001719EB"/>
    <w:rsid w:val="00175B9C"/>
    <w:rsid w:val="0018618C"/>
    <w:rsid w:val="00186D64"/>
    <w:rsid w:val="001872E3"/>
    <w:rsid w:val="001925D3"/>
    <w:rsid w:val="001966A4"/>
    <w:rsid w:val="001A7C56"/>
    <w:rsid w:val="001B44BE"/>
    <w:rsid w:val="001B5783"/>
    <w:rsid w:val="001B5E19"/>
    <w:rsid w:val="001C1068"/>
    <w:rsid w:val="001C47D4"/>
    <w:rsid w:val="001C591C"/>
    <w:rsid w:val="001D1826"/>
    <w:rsid w:val="001D2D93"/>
    <w:rsid w:val="001E0298"/>
    <w:rsid w:val="001E5ADA"/>
    <w:rsid w:val="001F097D"/>
    <w:rsid w:val="001F244F"/>
    <w:rsid w:val="001F2ED1"/>
    <w:rsid w:val="001F68C8"/>
    <w:rsid w:val="00203ECF"/>
    <w:rsid w:val="002202DF"/>
    <w:rsid w:val="00240E93"/>
    <w:rsid w:val="00242354"/>
    <w:rsid w:val="002429DB"/>
    <w:rsid w:val="00245396"/>
    <w:rsid w:val="002473DF"/>
    <w:rsid w:val="002528C8"/>
    <w:rsid w:val="00264789"/>
    <w:rsid w:val="002719B3"/>
    <w:rsid w:val="00277B37"/>
    <w:rsid w:val="00281C91"/>
    <w:rsid w:val="00285C0B"/>
    <w:rsid w:val="0028659C"/>
    <w:rsid w:val="00290840"/>
    <w:rsid w:val="00295A05"/>
    <w:rsid w:val="00297F60"/>
    <w:rsid w:val="002A5C27"/>
    <w:rsid w:val="002B0A2D"/>
    <w:rsid w:val="002B4A6E"/>
    <w:rsid w:val="002C22A9"/>
    <w:rsid w:val="002C4D7B"/>
    <w:rsid w:val="002C6067"/>
    <w:rsid w:val="002C738B"/>
    <w:rsid w:val="002E441F"/>
    <w:rsid w:val="002E5169"/>
    <w:rsid w:val="002F2D36"/>
    <w:rsid w:val="002F6087"/>
    <w:rsid w:val="00302116"/>
    <w:rsid w:val="0030593F"/>
    <w:rsid w:val="00305D41"/>
    <w:rsid w:val="003066D0"/>
    <w:rsid w:val="00314C83"/>
    <w:rsid w:val="00320478"/>
    <w:rsid w:val="003237A8"/>
    <w:rsid w:val="00326323"/>
    <w:rsid w:val="00326FCB"/>
    <w:rsid w:val="0032717C"/>
    <w:rsid w:val="00336418"/>
    <w:rsid w:val="00336AE4"/>
    <w:rsid w:val="003437BA"/>
    <w:rsid w:val="00346CC6"/>
    <w:rsid w:val="003502DA"/>
    <w:rsid w:val="00351119"/>
    <w:rsid w:val="003606B0"/>
    <w:rsid w:val="00361BDA"/>
    <w:rsid w:val="00363859"/>
    <w:rsid w:val="00373DA8"/>
    <w:rsid w:val="00374ADE"/>
    <w:rsid w:val="00380683"/>
    <w:rsid w:val="003815B8"/>
    <w:rsid w:val="0038450A"/>
    <w:rsid w:val="00386B6F"/>
    <w:rsid w:val="00387BA7"/>
    <w:rsid w:val="00395952"/>
    <w:rsid w:val="00397E5E"/>
    <w:rsid w:val="003A625F"/>
    <w:rsid w:val="003B0D13"/>
    <w:rsid w:val="003D428F"/>
    <w:rsid w:val="003D7D69"/>
    <w:rsid w:val="003E4BE4"/>
    <w:rsid w:val="003E50EE"/>
    <w:rsid w:val="003E5E60"/>
    <w:rsid w:val="003E7474"/>
    <w:rsid w:val="003F2A74"/>
    <w:rsid w:val="003F30D0"/>
    <w:rsid w:val="003F3F56"/>
    <w:rsid w:val="00400580"/>
    <w:rsid w:val="00407052"/>
    <w:rsid w:val="004073A4"/>
    <w:rsid w:val="0041004F"/>
    <w:rsid w:val="00416BB4"/>
    <w:rsid w:val="00422C3F"/>
    <w:rsid w:val="004234E0"/>
    <w:rsid w:val="00423A23"/>
    <w:rsid w:val="004314C4"/>
    <w:rsid w:val="004402EC"/>
    <w:rsid w:val="00441528"/>
    <w:rsid w:val="00442332"/>
    <w:rsid w:val="00442C8B"/>
    <w:rsid w:val="004466F2"/>
    <w:rsid w:val="0044694C"/>
    <w:rsid w:val="004547AA"/>
    <w:rsid w:val="0047599C"/>
    <w:rsid w:val="00476517"/>
    <w:rsid w:val="004825D3"/>
    <w:rsid w:val="00486612"/>
    <w:rsid w:val="00493E4E"/>
    <w:rsid w:val="004A0789"/>
    <w:rsid w:val="004A2321"/>
    <w:rsid w:val="004A689F"/>
    <w:rsid w:val="004B09BB"/>
    <w:rsid w:val="004B0AC5"/>
    <w:rsid w:val="004C3A77"/>
    <w:rsid w:val="004C3B6E"/>
    <w:rsid w:val="004D16D5"/>
    <w:rsid w:val="004D3521"/>
    <w:rsid w:val="004E3765"/>
    <w:rsid w:val="004E42C6"/>
    <w:rsid w:val="004E4614"/>
    <w:rsid w:val="004F095A"/>
    <w:rsid w:val="004F34E1"/>
    <w:rsid w:val="004F427A"/>
    <w:rsid w:val="00503E33"/>
    <w:rsid w:val="0050527A"/>
    <w:rsid w:val="00513487"/>
    <w:rsid w:val="00515D19"/>
    <w:rsid w:val="005223F2"/>
    <w:rsid w:val="005479AE"/>
    <w:rsid w:val="00552CD1"/>
    <w:rsid w:val="00552D2B"/>
    <w:rsid w:val="005556FB"/>
    <w:rsid w:val="005632E0"/>
    <w:rsid w:val="005633A6"/>
    <w:rsid w:val="005636A4"/>
    <w:rsid w:val="0056502F"/>
    <w:rsid w:val="00572DF2"/>
    <w:rsid w:val="005745FF"/>
    <w:rsid w:val="00576857"/>
    <w:rsid w:val="00580730"/>
    <w:rsid w:val="0058337F"/>
    <w:rsid w:val="00586486"/>
    <w:rsid w:val="00593E76"/>
    <w:rsid w:val="005970C3"/>
    <w:rsid w:val="0059739C"/>
    <w:rsid w:val="005B1FFF"/>
    <w:rsid w:val="005B457B"/>
    <w:rsid w:val="005B73A8"/>
    <w:rsid w:val="005C38C1"/>
    <w:rsid w:val="005E3C9A"/>
    <w:rsid w:val="005E7F2D"/>
    <w:rsid w:val="005F4E48"/>
    <w:rsid w:val="006047F2"/>
    <w:rsid w:val="00605CD5"/>
    <w:rsid w:val="006067D1"/>
    <w:rsid w:val="006078A9"/>
    <w:rsid w:val="006102D0"/>
    <w:rsid w:val="006112C1"/>
    <w:rsid w:val="00611F8B"/>
    <w:rsid w:val="00620338"/>
    <w:rsid w:val="00627A5E"/>
    <w:rsid w:val="00627F9F"/>
    <w:rsid w:val="006365DF"/>
    <w:rsid w:val="006433F2"/>
    <w:rsid w:val="0065375B"/>
    <w:rsid w:val="00654AC7"/>
    <w:rsid w:val="0067267C"/>
    <w:rsid w:val="00681237"/>
    <w:rsid w:val="006934A5"/>
    <w:rsid w:val="006974E5"/>
    <w:rsid w:val="006A52EA"/>
    <w:rsid w:val="006A6FC8"/>
    <w:rsid w:val="006C50AA"/>
    <w:rsid w:val="006D1B42"/>
    <w:rsid w:val="006D265B"/>
    <w:rsid w:val="006D55AE"/>
    <w:rsid w:val="006D5AA4"/>
    <w:rsid w:val="006D798D"/>
    <w:rsid w:val="006F00DB"/>
    <w:rsid w:val="006F025E"/>
    <w:rsid w:val="006F1E82"/>
    <w:rsid w:val="006F3DA7"/>
    <w:rsid w:val="00710587"/>
    <w:rsid w:val="00713C06"/>
    <w:rsid w:val="0072050A"/>
    <w:rsid w:val="00721CDE"/>
    <w:rsid w:val="0072302E"/>
    <w:rsid w:val="00731A56"/>
    <w:rsid w:val="00735BF5"/>
    <w:rsid w:val="00736F48"/>
    <w:rsid w:val="007377B1"/>
    <w:rsid w:val="0073782A"/>
    <w:rsid w:val="007405D5"/>
    <w:rsid w:val="007664D3"/>
    <w:rsid w:val="00785011"/>
    <w:rsid w:val="00797AF3"/>
    <w:rsid w:val="007A3E67"/>
    <w:rsid w:val="007A6158"/>
    <w:rsid w:val="007B580B"/>
    <w:rsid w:val="007C028B"/>
    <w:rsid w:val="007C0BA9"/>
    <w:rsid w:val="007C6C85"/>
    <w:rsid w:val="007D5E70"/>
    <w:rsid w:val="007D6F14"/>
    <w:rsid w:val="007E0FD8"/>
    <w:rsid w:val="007E3BA5"/>
    <w:rsid w:val="00801379"/>
    <w:rsid w:val="00801E09"/>
    <w:rsid w:val="00807128"/>
    <w:rsid w:val="008124A3"/>
    <w:rsid w:val="00821EAE"/>
    <w:rsid w:val="008263C8"/>
    <w:rsid w:val="008300DF"/>
    <w:rsid w:val="00831452"/>
    <w:rsid w:val="00834333"/>
    <w:rsid w:val="00836EC0"/>
    <w:rsid w:val="008436B7"/>
    <w:rsid w:val="008461BC"/>
    <w:rsid w:val="0084626B"/>
    <w:rsid w:val="008530A1"/>
    <w:rsid w:val="00853130"/>
    <w:rsid w:val="008570C5"/>
    <w:rsid w:val="00863E08"/>
    <w:rsid w:val="0086652C"/>
    <w:rsid w:val="008758D1"/>
    <w:rsid w:val="00882529"/>
    <w:rsid w:val="0088398F"/>
    <w:rsid w:val="008943EE"/>
    <w:rsid w:val="0089542F"/>
    <w:rsid w:val="00895870"/>
    <w:rsid w:val="00895D40"/>
    <w:rsid w:val="008A1BCE"/>
    <w:rsid w:val="008A3315"/>
    <w:rsid w:val="008A6412"/>
    <w:rsid w:val="008A720F"/>
    <w:rsid w:val="008B2973"/>
    <w:rsid w:val="008B5796"/>
    <w:rsid w:val="008B58E8"/>
    <w:rsid w:val="008C49B2"/>
    <w:rsid w:val="008D02DB"/>
    <w:rsid w:val="008D6F9D"/>
    <w:rsid w:val="008D77A5"/>
    <w:rsid w:val="008D7FE0"/>
    <w:rsid w:val="00900B2F"/>
    <w:rsid w:val="00911839"/>
    <w:rsid w:val="00916A77"/>
    <w:rsid w:val="00931678"/>
    <w:rsid w:val="00933774"/>
    <w:rsid w:val="009425DF"/>
    <w:rsid w:val="00955840"/>
    <w:rsid w:val="0095614E"/>
    <w:rsid w:val="009630A5"/>
    <w:rsid w:val="009633D4"/>
    <w:rsid w:val="009639ED"/>
    <w:rsid w:val="0097255D"/>
    <w:rsid w:val="00973E02"/>
    <w:rsid w:val="009801D8"/>
    <w:rsid w:val="00980378"/>
    <w:rsid w:val="00980D71"/>
    <w:rsid w:val="00982DB3"/>
    <w:rsid w:val="009957BE"/>
    <w:rsid w:val="009A42FD"/>
    <w:rsid w:val="009A548C"/>
    <w:rsid w:val="009A622F"/>
    <w:rsid w:val="009B3B8F"/>
    <w:rsid w:val="009C1C93"/>
    <w:rsid w:val="009C2187"/>
    <w:rsid w:val="009C521A"/>
    <w:rsid w:val="009C76A3"/>
    <w:rsid w:val="009D02E2"/>
    <w:rsid w:val="009D4EE6"/>
    <w:rsid w:val="009D5D24"/>
    <w:rsid w:val="009D667D"/>
    <w:rsid w:val="009E72EA"/>
    <w:rsid w:val="009E73DB"/>
    <w:rsid w:val="009F3552"/>
    <w:rsid w:val="009F3631"/>
    <w:rsid w:val="00A06A5A"/>
    <w:rsid w:val="00A077F7"/>
    <w:rsid w:val="00A117F2"/>
    <w:rsid w:val="00A11D0A"/>
    <w:rsid w:val="00A14285"/>
    <w:rsid w:val="00A16237"/>
    <w:rsid w:val="00A164F0"/>
    <w:rsid w:val="00A33044"/>
    <w:rsid w:val="00A35498"/>
    <w:rsid w:val="00A36CA3"/>
    <w:rsid w:val="00A44CE8"/>
    <w:rsid w:val="00A478A9"/>
    <w:rsid w:val="00A50C72"/>
    <w:rsid w:val="00A539F5"/>
    <w:rsid w:val="00A642AF"/>
    <w:rsid w:val="00A65312"/>
    <w:rsid w:val="00A71059"/>
    <w:rsid w:val="00A73672"/>
    <w:rsid w:val="00A91E0A"/>
    <w:rsid w:val="00A9509B"/>
    <w:rsid w:val="00A9630B"/>
    <w:rsid w:val="00AB0714"/>
    <w:rsid w:val="00AB356F"/>
    <w:rsid w:val="00AB7D25"/>
    <w:rsid w:val="00AC4B2D"/>
    <w:rsid w:val="00AD05AF"/>
    <w:rsid w:val="00AE14B8"/>
    <w:rsid w:val="00AF7F13"/>
    <w:rsid w:val="00B05C48"/>
    <w:rsid w:val="00B108ED"/>
    <w:rsid w:val="00B11459"/>
    <w:rsid w:val="00B27535"/>
    <w:rsid w:val="00B314F9"/>
    <w:rsid w:val="00B324CC"/>
    <w:rsid w:val="00B34F34"/>
    <w:rsid w:val="00B353D9"/>
    <w:rsid w:val="00B36250"/>
    <w:rsid w:val="00B445B1"/>
    <w:rsid w:val="00B524A1"/>
    <w:rsid w:val="00B60F67"/>
    <w:rsid w:val="00B75CBE"/>
    <w:rsid w:val="00B86B70"/>
    <w:rsid w:val="00B96290"/>
    <w:rsid w:val="00BA1C5A"/>
    <w:rsid w:val="00BB1E61"/>
    <w:rsid w:val="00BB2AFC"/>
    <w:rsid w:val="00BC3FC8"/>
    <w:rsid w:val="00BC5D3B"/>
    <w:rsid w:val="00BD074A"/>
    <w:rsid w:val="00BD0F9A"/>
    <w:rsid w:val="00BD15EB"/>
    <w:rsid w:val="00BE0CA9"/>
    <w:rsid w:val="00BE22E5"/>
    <w:rsid w:val="00BE4920"/>
    <w:rsid w:val="00BF1662"/>
    <w:rsid w:val="00C02C3C"/>
    <w:rsid w:val="00C05ACE"/>
    <w:rsid w:val="00C104F2"/>
    <w:rsid w:val="00C308AB"/>
    <w:rsid w:val="00C44CF1"/>
    <w:rsid w:val="00C45D77"/>
    <w:rsid w:val="00C57F5A"/>
    <w:rsid w:val="00C6005A"/>
    <w:rsid w:val="00C6163A"/>
    <w:rsid w:val="00C61B42"/>
    <w:rsid w:val="00C62146"/>
    <w:rsid w:val="00C62BFE"/>
    <w:rsid w:val="00C66A50"/>
    <w:rsid w:val="00C673F1"/>
    <w:rsid w:val="00C74622"/>
    <w:rsid w:val="00C76083"/>
    <w:rsid w:val="00C76C95"/>
    <w:rsid w:val="00C8694E"/>
    <w:rsid w:val="00C90466"/>
    <w:rsid w:val="00C926C8"/>
    <w:rsid w:val="00CA344F"/>
    <w:rsid w:val="00CB0B27"/>
    <w:rsid w:val="00CB6990"/>
    <w:rsid w:val="00CB6ACC"/>
    <w:rsid w:val="00CD02D7"/>
    <w:rsid w:val="00CD4E1B"/>
    <w:rsid w:val="00CD5324"/>
    <w:rsid w:val="00CE09A6"/>
    <w:rsid w:val="00CE43D8"/>
    <w:rsid w:val="00CE5F72"/>
    <w:rsid w:val="00CF0EE3"/>
    <w:rsid w:val="00CF35DA"/>
    <w:rsid w:val="00CF3C53"/>
    <w:rsid w:val="00D019B4"/>
    <w:rsid w:val="00D02EBA"/>
    <w:rsid w:val="00D058DB"/>
    <w:rsid w:val="00D13B85"/>
    <w:rsid w:val="00D1743B"/>
    <w:rsid w:val="00D2169C"/>
    <w:rsid w:val="00D2658F"/>
    <w:rsid w:val="00D378EF"/>
    <w:rsid w:val="00D50C4B"/>
    <w:rsid w:val="00D51424"/>
    <w:rsid w:val="00D53754"/>
    <w:rsid w:val="00D565A4"/>
    <w:rsid w:val="00D65073"/>
    <w:rsid w:val="00D65CFA"/>
    <w:rsid w:val="00D7073D"/>
    <w:rsid w:val="00D73D48"/>
    <w:rsid w:val="00D779F6"/>
    <w:rsid w:val="00D855AE"/>
    <w:rsid w:val="00D91B96"/>
    <w:rsid w:val="00DA2487"/>
    <w:rsid w:val="00DA2C38"/>
    <w:rsid w:val="00DB063D"/>
    <w:rsid w:val="00DB239B"/>
    <w:rsid w:val="00DB4075"/>
    <w:rsid w:val="00DD026F"/>
    <w:rsid w:val="00DD2931"/>
    <w:rsid w:val="00DE16E8"/>
    <w:rsid w:val="00DE4FD7"/>
    <w:rsid w:val="00DF6084"/>
    <w:rsid w:val="00DF62F4"/>
    <w:rsid w:val="00E13062"/>
    <w:rsid w:val="00E21D02"/>
    <w:rsid w:val="00E23657"/>
    <w:rsid w:val="00E2672C"/>
    <w:rsid w:val="00E302D2"/>
    <w:rsid w:val="00E34A00"/>
    <w:rsid w:val="00E3653B"/>
    <w:rsid w:val="00E423CD"/>
    <w:rsid w:val="00E5163E"/>
    <w:rsid w:val="00E608E1"/>
    <w:rsid w:val="00E60BCA"/>
    <w:rsid w:val="00E70D87"/>
    <w:rsid w:val="00E7382E"/>
    <w:rsid w:val="00E7621C"/>
    <w:rsid w:val="00E77D66"/>
    <w:rsid w:val="00E80F08"/>
    <w:rsid w:val="00E9121E"/>
    <w:rsid w:val="00EB07BE"/>
    <w:rsid w:val="00EB43E2"/>
    <w:rsid w:val="00EB4E05"/>
    <w:rsid w:val="00EB4F09"/>
    <w:rsid w:val="00EB653C"/>
    <w:rsid w:val="00EC05FF"/>
    <w:rsid w:val="00EC2582"/>
    <w:rsid w:val="00ED1BF7"/>
    <w:rsid w:val="00ED5C6D"/>
    <w:rsid w:val="00ED5D03"/>
    <w:rsid w:val="00ED6CD1"/>
    <w:rsid w:val="00EE09F5"/>
    <w:rsid w:val="00EE33C7"/>
    <w:rsid w:val="00EE3D10"/>
    <w:rsid w:val="00EE5B69"/>
    <w:rsid w:val="00EF1BA4"/>
    <w:rsid w:val="00EF2428"/>
    <w:rsid w:val="00EF5F5F"/>
    <w:rsid w:val="00F10EBA"/>
    <w:rsid w:val="00F22705"/>
    <w:rsid w:val="00F2320F"/>
    <w:rsid w:val="00F2399C"/>
    <w:rsid w:val="00F24ABA"/>
    <w:rsid w:val="00F25B0D"/>
    <w:rsid w:val="00F32CB3"/>
    <w:rsid w:val="00F40030"/>
    <w:rsid w:val="00F43966"/>
    <w:rsid w:val="00F46A07"/>
    <w:rsid w:val="00F52B40"/>
    <w:rsid w:val="00F5690D"/>
    <w:rsid w:val="00F668AE"/>
    <w:rsid w:val="00F67C4E"/>
    <w:rsid w:val="00F737F4"/>
    <w:rsid w:val="00F76B28"/>
    <w:rsid w:val="00F83597"/>
    <w:rsid w:val="00F859E5"/>
    <w:rsid w:val="00FA6E77"/>
    <w:rsid w:val="00FB07CE"/>
    <w:rsid w:val="00FB25F1"/>
    <w:rsid w:val="00FB3F86"/>
    <w:rsid w:val="00FC0CD1"/>
    <w:rsid w:val="00FC3A71"/>
    <w:rsid w:val="00FD68E0"/>
    <w:rsid w:val="00FE57F1"/>
    <w:rsid w:val="00FF09EC"/>
    <w:rsid w:val="00FF16C5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3C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9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3C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5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442C8B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E6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608E1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65CFA"/>
  </w:style>
  <w:style w:type="paragraph" w:styleId="aa">
    <w:name w:val="footer"/>
    <w:basedOn w:val="a0"/>
    <w:link w:val="ab"/>
    <w:uiPriority w:val="99"/>
    <w:unhideWhenUsed/>
    <w:rsid w:val="00D65C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65CFA"/>
  </w:style>
  <w:style w:type="character" w:styleId="ac">
    <w:name w:val="annotation reference"/>
    <w:basedOn w:val="a1"/>
    <w:uiPriority w:val="99"/>
    <w:semiHidden/>
    <w:unhideWhenUsed/>
    <w:rsid w:val="006D55A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6D55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D55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5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5AE"/>
    <w:rPr>
      <w:b/>
      <w:bCs/>
      <w:sz w:val="20"/>
      <w:szCs w:val="20"/>
    </w:rPr>
  </w:style>
  <w:style w:type="character" w:styleId="af1">
    <w:name w:val="Placeholder Text"/>
    <w:basedOn w:val="a1"/>
    <w:uiPriority w:val="99"/>
    <w:semiHidden/>
    <w:rsid w:val="00297F60"/>
    <w:rPr>
      <w:color w:val="808080"/>
    </w:rPr>
  </w:style>
  <w:style w:type="paragraph" w:styleId="af2">
    <w:name w:val="Body Text"/>
    <w:basedOn w:val="a0"/>
    <w:link w:val="af3"/>
    <w:uiPriority w:val="99"/>
    <w:rsid w:val="00A91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1"/>
    <w:link w:val="af2"/>
    <w:uiPriority w:val="99"/>
    <w:rsid w:val="00A91E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8943EE"/>
    <w:pPr>
      <w:numPr>
        <w:numId w:val="9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1691-E695-43C3-8F20-281CB2D0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2533</Words>
  <Characters>14443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Райковська Галина Олексіївна</dc:creator>
  <cp:lastModifiedBy>Andrej</cp:lastModifiedBy>
  <cp:revision>2</cp:revision>
  <cp:lastPrinted>2018-02-08T07:59:00Z</cp:lastPrinted>
  <dcterms:created xsi:type="dcterms:W3CDTF">2018-04-13T07:56:00Z</dcterms:created>
  <dcterms:modified xsi:type="dcterms:W3CDTF">2018-04-13T07:56:00Z</dcterms:modified>
</cp:coreProperties>
</file>