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12" w:rsidRDefault="00477A12" w:rsidP="004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СЕМІНАРСЬКЕ</w:t>
      </w:r>
      <w:r w:rsidRPr="00E12217">
        <w:rPr>
          <w:b/>
          <w:sz w:val="28"/>
          <w:szCs w:val="28"/>
        </w:rPr>
        <w:t xml:space="preserve"> ЗАНЯТТЯ</w:t>
      </w:r>
      <w:r>
        <w:rPr>
          <w:b/>
          <w:sz w:val="28"/>
          <w:szCs w:val="28"/>
        </w:rPr>
        <w:t xml:space="preserve"> З КУРСУ </w:t>
      </w:r>
    </w:p>
    <w:p w:rsidR="00477A12" w:rsidRDefault="00477A12" w:rsidP="004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«ГЕНДЕРНА ПОЛІТИКА </w:t>
      </w:r>
    </w:p>
    <w:p w:rsidR="00477A12" w:rsidRDefault="00477A12" w:rsidP="004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СИСТЕМІ НАЦІОНАЛЬНОЇ ПОЛІТИКИ УКРАЇНИ»</w:t>
      </w:r>
    </w:p>
    <w:p w:rsidR="00D02911" w:rsidRDefault="00D02911" w:rsidP="00477A12">
      <w:pPr>
        <w:ind w:firstLine="709"/>
        <w:jc w:val="center"/>
        <w:rPr>
          <w:b/>
          <w:sz w:val="28"/>
          <w:szCs w:val="28"/>
        </w:rPr>
      </w:pPr>
    </w:p>
    <w:p w:rsidR="00477A12" w:rsidRPr="00E12217" w:rsidRDefault="00D02911" w:rsidP="00477A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Розкрити зміст</w:t>
      </w:r>
      <w:r w:rsidR="00477A12">
        <w:rPr>
          <w:b/>
          <w:sz w:val="28"/>
          <w:szCs w:val="28"/>
        </w:rPr>
        <w:t xml:space="preserve"> питан</w:t>
      </w:r>
      <w:r>
        <w:rPr>
          <w:b/>
          <w:sz w:val="28"/>
          <w:szCs w:val="28"/>
        </w:rPr>
        <w:t>ь</w:t>
      </w:r>
    </w:p>
    <w:p w:rsidR="00477A12" w:rsidRPr="00E12217" w:rsidRDefault="00477A12" w:rsidP="00477A1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СЕМІНАР № 1.</w:t>
      </w:r>
      <w:r w:rsidRPr="00E12217">
        <w:rPr>
          <w:b/>
          <w:sz w:val="28"/>
          <w:szCs w:val="28"/>
        </w:rPr>
        <w:t xml:space="preserve"> Стать</w:t>
      </w:r>
      <w:r w:rsidRPr="00E12217">
        <w:rPr>
          <w:b/>
          <w:spacing w:val="-2"/>
          <w:sz w:val="28"/>
          <w:szCs w:val="28"/>
        </w:rPr>
        <w:t xml:space="preserve"> </w:t>
      </w:r>
      <w:r w:rsidRPr="00E12217">
        <w:rPr>
          <w:b/>
          <w:sz w:val="28"/>
          <w:szCs w:val="28"/>
        </w:rPr>
        <w:t>і</w:t>
      </w:r>
      <w:r w:rsidRPr="00E12217">
        <w:rPr>
          <w:b/>
          <w:spacing w:val="-2"/>
          <w:sz w:val="28"/>
          <w:szCs w:val="28"/>
        </w:rPr>
        <w:t xml:space="preserve"> </w:t>
      </w:r>
      <w:proofErr w:type="spellStart"/>
      <w:r w:rsidRPr="00E12217">
        <w:rPr>
          <w:b/>
          <w:sz w:val="28"/>
          <w:szCs w:val="28"/>
        </w:rPr>
        <w:t>гендер</w:t>
      </w:r>
      <w:proofErr w:type="spellEnd"/>
      <w:r w:rsidRPr="00E12217">
        <w:rPr>
          <w:b/>
          <w:sz w:val="28"/>
          <w:szCs w:val="28"/>
        </w:rPr>
        <w:t>:</w:t>
      </w:r>
      <w:r w:rsidRPr="00E12217">
        <w:rPr>
          <w:b/>
          <w:spacing w:val="-2"/>
          <w:sz w:val="28"/>
          <w:szCs w:val="28"/>
        </w:rPr>
        <w:t xml:space="preserve"> </w:t>
      </w:r>
      <w:r w:rsidRPr="00E12217">
        <w:rPr>
          <w:b/>
          <w:sz w:val="28"/>
          <w:szCs w:val="28"/>
        </w:rPr>
        <w:t>особливості</w:t>
      </w:r>
      <w:r w:rsidRPr="00E12217">
        <w:rPr>
          <w:b/>
          <w:spacing w:val="-2"/>
          <w:sz w:val="28"/>
          <w:szCs w:val="28"/>
        </w:rPr>
        <w:t xml:space="preserve"> </w:t>
      </w:r>
      <w:r w:rsidRPr="00E12217">
        <w:rPr>
          <w:b/>
          <w:sz w:val="28"/>
          <w:szCs w:val="28"/>
        </w:rPr>
        <w:t>визначення</w:t>
      </w:r>
      <w:r w:rsidRPr="00E12217">
        <w:rPr>
          <w:b/>
          <w:spacing w:val="-2"/>
          <w:sz w:val="28"/>
          <w:szCs w:val="28"/>
        </w:rPr>
        <w:t xml:space="preserve"> </w:t>
      </w:r>
      <w:r w:rsidRPr="00E12217">
        <w:rPr>
          <w:b/>
          <w:sz w:val="28"/>
          <w:szCs w:val="28"/>
        </w:rPr>
        <w:t>та</w:t>
      </w:r>
      <w:r w:rsidRPr="00E12217">
        <w:rPr>
          <w:b/>
          <w:spacing w:val="-2"/>
          <w:sz w:val="28"/>
          <w:szCs w:val="28"/>
        </w:rPr>
        <w:t xml:space="preserve"> </w:t>
      </w:r>
      <w:r w:rsidRPr="00E12217">
        <w:rPr>
          <w:b/>
          <w:sz w:val="28"/>
          <w:szCs w:val="28"/>
        </w:rPr>
        <w:t>співвідношення</w:t>
      </w:r>
      <w:r w:rsidRPr="00E12217">
        <w:rPr>
          <w:b/>
          <w:spacing w:val="-2"/>
          <w:sz w:val="28"/>
          <w:szCs w:val="28"/>
        </w:rPr>
        <w:t xml:space="preserve"> понять.</w:t>
      </w:r>
    </w:p>
    <w:p w:rsidR="00477A12" w:rsidRPr="00E12217" w:rsidRDefault="00477A12" w:rsidP="00477A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12217">
        <w:rPr>
          <w:sz w:val="28"/>
          <w:szCs w:val="28"/>
        </w:rPr>
        <w:t xml:space="preserve">Гендерний підхід: його специфіка. </w:t>
      </w:r>
    </w:p>
    <w:p w:rsidR="00477A12" w:rsidRPr="00E12217" w:rsidRDefault="00477A12" w:rsidP="00477A12">
      <w:pPr>
        <w:pStyle w:val="a5"/>
        <w:numPr>
          <w:ilvl w:val="0"/>
          <w:numId w:val="1"/>
        </w:numPr>
        <w:tabs>
          <w:tab w:val="left" w:pos="1192"/>
        </w:tabs>
        <w:ind w:left="0" w:firstLine="709"/>
        <w:jc w:val="both"/>
        <w:rPr>
          <w:sz w:val="28"/>
          <w:szCs w:val="28"/>
        </w:rPr>
      </w:pPr>
      <w:r w:rsidRPr="00E12217">
        <w:rPr>
          <w:sz w:val="28"/>
          <w:szCs w:val="28"/>
        </w:rPr>
        <w:t>Співвідношення</w:t>
      </w:r>
      <w:r w:rsidRPr="00E12217">
        <w:rPr>
          <w:spacing w:val="-4"/>
          <w:sz w:val="28"/>
          <w:szCs w:val="28"/>
        </w:rPr>
        <w:t xml:space="preserve"> </w:t>
      </w:r>
      <w:r w:rsidRPr="00E12217">
        <w:rPr>
          <w:sz w:val="28"/>
          <w:szCs w:val="28"/>
        </w:rPr>
        <w:t>понять</w:t>
      </w:r>
      <w:r w:rsidRPr="00E12217">
        <w:rPr>
          <w:spacing w:val="-6"/>
          <w:sz w:val="28"/>
          <w:szCs w:val="28"/>
        </w:rPr>
        <w:t xml:space="preserve"> </w:t>
      </w:r>
      <w:r w:rsidRPr="00E12217">
        <w:rPr>
          <w:sz w:val="28"/>
          <w:szCs w:val="28"/>
        </w:rPr>
        <w:t>«стать»</w:t>
      </w:r>
      <w:r w:rsidRPr="00E12217">
        <w:rPr>
          <w:spacing w:val="-4"/>
          <w:sz w:val="28"/>
          <w:szCs w:val="28"/>
        </w:rPr>
        <w:t xml:space="preserve"> </w:t>
      </w:r>
      <w:r w:rsidRPr="00E12217">
        <w:rPr>
          <w:sz w:val="28"/>
          <w:szCs w:val="28"/>
        </w:rPr>
        <w:t>та</w:t>
      </w:r>
      <w:r w:rsidRPr="00E12217">
        <w:rPr>
          <w:spacing w:val="-3"/>
          <w:sz w:val="28"/>
          <w:szCs w:val="28"/>
        </w:rPr>
        <w:t xml:space="preserve"> </w:t>
      </w:r>
      <w:r w:rsidRPr="00E12217">
        <w:rPr>
          <w:spacing w:val="-2"/>
          <w:sz w:val="28"/>
          <w:szCs w:val="28"/>
        </w:rPr>
        <w:t>«</w:t>
      </w:r>
      <w:proofErr w:type="spellStart"/>
      <w:r w:rsidRPr="00E12217">
        <w:rPr>
          <w:spacing w:val="-2"/>
          <w:sz w:val="28"/>
          <w:szCs w:val="28"/>
        </w:rPr>
        <w:t>гендер</w:t>
      </w:r>
      <w:proofErr w:type="spellEnd"/>
      <w:r w:rsidRPr="00E12217">
        <w:rPr>
          <w:spacing w:val="-2"/>
          <w:sz w:val="28"/>
          <w:szCs w:val="28"/>
        </w:rPr>
        <w:t>»</w:t>
      </w:r>
      <w:r w:rsidR="003232E6">
        <w:rPr>
          <w:spacing w:val="-2"/>
          <w:sz w:val="28"/>
          <w:szCs w:val="28"/>
        </w:rPr>
        <w:t>.</w:t>
      </w:r>
      <w:bookmarkStart w:id="0" w:name="_GoBack"/>
      <w:bookmarkEnd w:id="0"/>
    </w:p>
    <w:p w:rsidR="00477A12" w:rsidRPr="00E12217" w:rsidRDefault="00477A12" w:rsidP="00477A12">
      <w:pPr>
        <w:pStyle w:val="a5"/>
        <w:numPr>
          <w:ilvl w:val="0"/>
          <w:numId w:val="1"/>
        </w:numPr>
        <w:tabs>
          <w:tab w:val="left" w:pos="1192"/>
        </w:tabs>
        <w:ind w:left="0" w:firstLine="709"/>
        <w:jc w:val="both"/>
        <w:rPr>
          <w:sz w:val="28"/>
          <w:szCs w:val="28"/>
        </w:rPr>
      </w:pPr>
      <w:r w:rsidRPr="00E12217">
        <w:rPr>
          <w:sz w:val="28"/>
          <w:szCs w:val="28"/>
        </w:rPr>
        <w:t>Предмет,</w:t>
      </w:r>
      <w:r w:rsidRPr="00E12217">
        <w:rPr>
          <w:spacing w:val="-4"/>
          <w:sz w:val="28"/>
          <w:szCs w:val="28"/>
        </w:rPr>
        <w:t xml:space="preserve"> </w:t>
      </w:r>
      <w:r w:rsidRPr="00E12217">
        <w:rPr>
          <w:sz w:val="28"/>
          <w:szCs w:val="28"/>
        </w:rPr>
        <w:t>структура</w:t>
      </w:r>
      <w:r w:rsidRPr="00E12217">
        <w:rPr>
          <w:spacing w:val="-2"/>
          <w:sz w:val="28"/>
          <w:szCs w:val="28"/>
        </w:rPr>
        <w:t xml:space="preserve"> </w:t>
      </w:r>
      <w:r w:rsidRPr="00E12217">
        <w:rPr>
          <w:sz w:val="28"/>
          <w:szCs w:val="28"/>
        </w:rPr>
        <w:t>і</w:t>
      </w:r>
      <w:r w:rsidRPr="00E12217">
        <w:rPr>
          <w:spacing w:val="-2"/>
          <w:sz w:val="28"/>
          <w:szCs w:val="28"/>
        </w:rPr>
        <w:t xml:space="preserve"> </w:t>
      </w:r>
      <w:r w:rsidRPr="00E12217">
        <w:rPr>
          <w:sz w:val="28"/>
          <w:szCs w:val="28"/>
        </w:rPr>
        <w:t>функції гендерної</w:t>
      </w:r>
      <w:r w:rsidRPr="00E12217">
        <w:rPr>
          <w:spacing w:val="-3"/>
          <w:sz w:val="28"/>
          <w:szCs w:val="28"/>
        </w:rPr>
        <w:t xml:space="preserve"> </w:t>
      </w:r>
      <w:r w:rsidRPr="00E12217">
        <w:rPr>
          <w:spacing w:val="-2"/>
          <w:sz w:val="28"/>
          <w:szCs w:val="28"/>
        </w:rPr>
        <w:t>політології.</w:t>
      </w:r>
    </w:p>
    <w:p w:rsidR="00477A12" w:rsidRPr="003F6EDE" w:rsidRDefault="00477A12" w:rsidP="00477A1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6EDE">
        <w:rPr>
          <w:sz w:val="28"/>
          <w:szCs w:val="28"/>
        </w:rPr>
        <w:t xml:space="preserve">Причини існування різниці в поведінці чоловіків та жінок: роль біологічних і культурних чинників. </w:t>
      </w:r>
    </w:p>
    <w:p w:rsidR="00477A12" w:rsidRPr="00E12217" w:rsidRDefault="00477A12" w:rsidP="00477A12">
      <w:pPr>
        <w:pStyle w:val="a3"/>
        <w:ind w:firstLine="709"/>
        <w:rPr>
          <w:sz w:val="28"/>
          <w:szCs w:val="28"/>
        </w:rPr>
      </w:pPr>
    </w:p>
    <w:p w:rsidR="00477A12" w:rsidRPr="00E12217" w:rsidRDefault="00477A12" w:rsidP="00477A12">
      <w:pPr>
        <w:ind w:firstLine="709"/>
        <w:jc w:val="both"/>
        <w:rPr>
          <w:sz w:val="28"/>
          <w:szCs w:val="28"/>
        </w:rPr>
      </w:pPr>
      <w:r w:rsidRPr="00E12217">
        <w:rPr>
          <w:i/>
          <w:sz w:val="28"/>
          <w:szCs w:val="28"/>
        </w:rPr>
        <w:t>Основні</w:t>
      </w:r>
      <w:r w:rsidRPr="00E12217">
        <w:rPr>
          <w:i/>
          <w:spacing w:val="-4"/>
          <w:sz w:val="28"/>
          <w:szCs w:val="28"/>
        </w:rPr>
        <w:t xml:space="preserve"> </w:t>
      </w:r>
      <w:r w:rsidRPr="00E12217">
        <w:rPr>
          <w:i/>
          <w:sz w:val="28"/>
          <w:szCs w:val="28"/>
        </w:rPr>
        <w:t>поняття:</w:t>
      </w:r>
      <w:r w:rsidRPr="00E12217">
        <w:rPr>
          <w:i/>
          <w:spacing w:val="-3"/>
          <w:sz w:val="28"/>
          <w:szCs w:val="28"/>
        </w:rPr>
        <w:t xml:space="preserve"> </w:t>
      </w:r>
      <w:proofErr w:type="spellStart"/>
      <w:r w:rsidRPr="00E12217">
        <w:rPr>
          <w:sz w:val="28"/>
          <w:szCs w:val="28"/>
        </w:rPr>
        <w:t>гендер</w:t>
      </w:r>
      <w:proofErr w:type="spellEnd"/>
      <w:r w:rsidRPr="00E12217">
        <w:rPr>
          <w:sz w:val="28"/>
          <w:szCs w:val="28"/>
        </w:rPr>
        <w:t>,</w:t>
      </w:r>
      <w:r w:rsidRPr="00E12217">
        <w:rPr>
          <w:spacing w:val="-3"/>
          <w:sz w:val="28"/>
          <w:szCs w:val="28"/>
        </w:rPr>
        <w:t xml:space="preserve"> </w:t>
      </w:r>
      <w:r w:rsidRPr="00E12217">
        <w:rPr>
          <w:sz w:val="28"/>
          <w:szCs w:val="28"/>
        </w:rPr>
        <w:t>стать,</w:t>
      </w:r>
      <w:r w:rsidRPr="00E12217">
        <w:rPr>
          <w:spacing w:val="-3"/>
          <w:sz w:val="28"/>
          <w:szCs w:val="28"/>
        </w:rPr>
        <w:t xml:space="preserve"> </w:t>
      </w:r>
      <w:r w:rsidRPr="00E12217">
        <w:rPr>
          <w:sz w:val="28"/>
          <w:szCs w:val="28"/>
        </w:rPr>
        <w:t>гендерна</w:t>
      </w:r>
      <w:r w:rsidRPr="00E12217">
        <w:rPr>
          <w:spacing w:val="-4"/>
          <w:sz w:val="28"/>
          <w:szCs w:val="28"/>
        </w:rPr>
        <w:t xml:space="preserve"> </w:t>
      </w:r>
      <w:r w:rsidRPr="00E12217">
        <w:rPr>
          <w:spacing w:val="-2"/>
          <w:sz w:val="28"/>
          <w:szCs w:val="28"/>
        </w:rPr>
        <w:t>політ</w:t>
      </w:r>
      <w:r>
        <w:rPr>
          <w:spacing w:val="-2"/>
          <w:sz w:val="28"/>
          <w:szCs w:val="28"/>
        </w:rPr>
        <w:t>ика</w:t>
      </w:r>
      <w:r w:rsidRPr="00E12217">
        <w:rPr>
          <w:spacing w:val="-2"/>
          <w:sz w:val="28"/>
          <w:szCs w:val="28"/>
        </w:rPr>
        <w:t>.</w:t>
      </w:r>
    </w:p>
    <w:p w:rsidR="00477A12" w:rsidRPr="00E12217" w:rsidRDefault="00477A12" w:rsidP="00477A12">
      <w:pPr>
        <w:pStyle w:val="a3"/>
        <w:ind w:firstLine="709"/>
        <w:rPr>
          <w:sz w:val="28"/>
          <w:szCs w:val="28"/>
        </w:rPr>
      </w:pPr>
    </w:p>
    <w:p w:rsidR="00477A12" w:rsidRPr="00E12217" w:rsidRDefault="00477A12" w:rsidP="00477A12">
      <w:pPr>
        <w:ind w:firstLine="709"/>
        <w:jc w:val="center"/>
        <w:rPr>
          <w:i/>
          <w:sz w:val="28"/>
          <w:szCs w:val="28"/>
        </w:rPr>
      </w:pPr>
      <w:r w:rsidRPr="00E12217">
        <w:rPr>
          <w:i/>
          <w:spacing w:val="-2"/>
          <w:sz w:val="28"/>
          <w:szCs w:val="28"/>
        </w:rPr>
        <w:t>Література:</w:t>
      </w:r>
    </w:p>
    <w:p w:rsidR="00477A12" w:rsidRPr="00E12217" w:rsidRDefault="00477A12" w:rsidP="00477A12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Ґендерна рівність: міфи, факти та державна політика. К., 2020. 60 с.</w:t>
      </w:r>
    </w:p>
    <w:p w:rsidR="00477A12" w:rsidRPr="00E12217" w:rsidRDefault="00477A12" w:rsidP="00477A12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Грицай І. О. Механізм забезпечення принципу гендерної рівності: теорія та практика: монографія. К. : «Хай-Тек Прес», 2018. 560 с</w:t>
      </w:r>
    </w:p>
    <w:p w:rsidR="00477A12" w:rsidRPr="00E12217" w:rsidRDefault="00477A12" w:rsidP="00477A12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 xml:space="preserve">Про затвердження Державної соціальної програми забезпечення рівних прав та можливостей жінок і чоловіків на період до 2021 року : Постанова Кабінету Міністрів України від 11 квітня 2018 р. № 273. URL: https://zakon.rada.gov.ua/laws/show/273-2018- </w:t>
      </w:r>
      <w:proofErr w:type="spellStart"/>
      <w:r w:rsidRPr="00E12217">
        <w:rPr>
          <w:sz w:val="28"/>
          <w:szCs w:val="28"/>
        </w:rPr>
        <w:t>п#Text</w:t>
      </w:r>
      <w:proofErr w:type="spellEnd"/>
      <w:r w:rsidRPr="00E12217">
        <w:rPr>
          <w:sz w:val="28"/>
          <w:szCs w:val="28"/>
        </w:rPr>
        <w:t>.</w:t>
      </w:r>
    </w:p>
    <w:p w:rsidR="00477A12" w:rsidRPr="00E12217" w:rsidRDefault="00477A12" w:rsidP="00477A12">
      <w:pPr>
        <w:numPr>
          <w:ilvl w:val="0"/>
          <w:numId w:val="2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E12217">
        <w:rPr>
          <w:sz w:val="28"/>
          <w:szCs w:val="28"/>
        </w:rPr>
        <w:t>Уварова</w:t>
      </w:r>
      <w:proofErr w:type="spellEnd"/>
      <w:r w:rsidRPr="00E12217">
        <w:rPr>
          <w:sz w:val="28"/>
          <w:szCs w:val="28"/>
        </w:rPr>
        <w:t xml:space="preserve"> О.О. Права жінок та гендерна рівність: </w:t>
      </w:r>
      <w:proofErr w:type="spellStart"/>
      <w:r w:rsidRPr="00E12217">
        <w:rPr>
          <w:sz w:val="28"/>
          <w:szCs w:val="28"/>
        </w:rPr>
        <w:t>навч</w:t>
      </w:r>
      <w:proofErr w:type="spellEnd"/>
      <w:r w:rsidRPr="00E12217">
        <w:rPr>
          <w:sz w:val="28"/>
          <w:szCs w:val="28"/>
        </w:rPr>
        <w:t xml:space="preserve">. </w:t>
      </w:r>
      <w:proofErr w:type="spellStart"/>
      <w:r w:rsidRPr="00E12217">
        <w:rPr>
          <w:sz w:val="28"/>
          <w:szCs w:val="28"/>
        </w:rPr>
        <w:t>посіб</w:t>
      </w:r>
      <w:proofErr w:type="spellEnd"/>
      <w:r w:rsidRPr="00E12217">
        <w:rPr>
          <w:sz w:val="28"/>
          <w:szCs w:val="28"/>
        </w:rPr>
        <w:t>. К., 2018. 204 с.</w:t>
      </w:r>
    </w:p>
    <w:p w:rsidR="00477A12" w:rsidRPr="00E12217" w:rsidRDefault="00477A12" w:rsidP="00477A12">
      <w:pPr>
        <w:numPr>
          <w:ilvl w:val="0"/>
          <w:numId w:val="3"/>
        </w:numPr>
        <w:autoSpaceDE/>
        <w:autoSpaceDN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E12217">
        <w:rPr>
          <w:sz w:val="28"/>
          <w:szCs w:val="28"/>
        </w:rPr>
        <w:t>Левченко К. Гендерне тяжіння. Виклики та рішення. Харків: Фоліо, 2019. 320 с.</w:t>
      </w:r>
    </w:p>
    <w:p w:rsidR="00477A12" w:rsidRDefault="00477A12" w:rsidP="00477A12">
      <w:pPr>
        <w:ind w:firstLine="709"/>
        <w:jc w:val="both"/>
        <w:rPr>
          <w:b/>
          <w:sz w:val="28"/>
          <w:szCs w:val="28"/>
        </w:rPr>
      </w:pPr>
    </w:p>
    <w:p w:rsidR="00287BF7" w:rsidRDefault="00287BF7"/>
    <w:sectPr w:rsidR="00287B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0A19"/>
    <w:multiLevelType w:val="hybridMultilevel"/>
    <w:tmpl w:val="11FA2A38"/>
    <w:lvl w:ilvl="0" w:tplc="23DC1CC2">
      <w:start w:val="1"/>
      <w:numFmt w:val="decimal"/>
      <w:lvlText w:val="%1."/>
      <w:lvlJc w:val="left"/>
      <w:pPr>
        <w:ind w:left="11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0EA2D80">
      <w:numFmt w:val="bullet"/>
      <w:lvlText w:val="•"/>
      <w:lvlJc w:val="left"/>
      <w:pPr>
        <w:ind w:left="2152" w:hanging="360"/>
      </w:pPr>
      <w:rPr>
        <w:rFonts w:hint="default"/>
        <w:lang w:val="uk-UA" w:eastAsia="en-US" w:bidi="ar-SA"/>
      </w:rPr>
    </w:lvl>
    <w:lvl w:ilvl="2" w:tplc="FDE01216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3" w:tplc="21784576">
      <w:numFmt w:val="bullet"/>
      <w:lvlText w:val="•"/>
      <w:lvlJc w:val="left"/>
      <w:pPr>
        <w:ind w:left="4057" w:hanging="360"/>
      </w:pPr>
      <w:rPr>
        <w:rFonts w:hint="default"/>
        <w:lang w:val="uk-UA" w:eastAsia="en-US" w:bidi="ar-SA"/>
      </w:rPr>
    </w:lvl>
    <w:lvl w:ilvl="4" w:tplc="44CA88CE">
      <w:numFmt w:val="bullet"/>
      <w:lvlText w:val="•"/>
      <w:lvlJc w:val="left"/>
      <w:pPr>
        <w:ind w:left="5010" w:hanging="360"/>
      </w:pPr>
      <w:rPr>
        <w:rFonts w:hint="default"/>
        <w:lang w:val="uk-UA" w:eastAsia="en-US" w:bidi="ar-SA"/>
      </w:rPr>
    </w:lvl>
    <w:lvl w:ilvl="5" w:tplc="CC78A57A">
      <w:numFmt w:val="bullet"/>
      <w:lvlText w:val="•"/>
      <w:lvlJc w:val="left"/>
      <w:pPr>
        <w:ind w:left="5963" w:hanging="360"/>
      </w:pPr>
      <w:rPr>
        <w:rFonts w:hint="default"/>
        <w:lang w:val="uk-UA" w:eastAsia="en-US" w:bidi="ar-SA"/>
      </w:rPr>
    </w:lvl>
    <w:lvl w:ilvl="6" w:tplc="A9664F92">
      <w:numFmt w:val="bullet"/>
      <w:lvlText w:val="•"/>
      <w:lvlJc w:val="left"/>
      <w:pPr>
        <w:ind w:left="6915" w:hanging="360"/>
      </w:pPr>
      <w:rPr>
        <w:rFonts w:hint="default"/>
        <w:lang w:val="uk-UA" w:eastAsia="en-US" w:bidi="ar-SA"/>
      </w:rPr>
    </w:lvl>
    <w:lvl w:ilvl="7" w:tplc="1D661412">
      <w:numFmt w:val="bullet"/>
      <w:lvlText w:val="•"/>
      <w:lvlJc w:val="left"/>
      <w:pPr>
        <w:ind w:left="7868" w:hanging="360"/>
      </w:pPr>
      <w:rPr>
        <w:rFonts w:hint="default"/>
        <w:lang w:val="uk-UA" w:eastAsia="en-US" w:bidi="ar-SA"/>
      </w:rPr>
    </w:lvl>
    <w:lvl w:ilvl="8" w:tplc="5F7A5D96">
      <w:numFmt w:val="bullet"/>
      <w:lvlText w:val="•"/>
      <w:lvlJc w:val="left"/>
      <w:pPr>
        <w:ind w:left="8821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B60406C"/>
    <w:multiLevelType w:val="hybridMultilevel"/>
    <w:tmpl w:val="70701C3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B4507A"/>
    <w:multiLevelType w:val="hybridMultilevel"/>
    <w:tmpl w:val="CF7C42F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80"/>
    <w:rsid w:val="00287BF7"/>
    <w:rsid w:val="003232E6"/>
    <w:rsid w:val="00477A12"/>
    <w:rsid w:val="00C51480"/>
    <w:rsid w:val="00D02911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0E3B"/>
  <w15:chartTrackingRefBased/>
  <w15:docId w15:val="{961180D0-7DC1-4AFC-AFE4-1ED5541B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A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77A12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477A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77A12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398</Characters>
  <Application>Microsoft Office Word</Application>
  <DocSecurity>0</DocSecurity>
  <Lines>3</Lines>
  <Paragraphs>2</Paragraphs>
  <ScaleCrop>false</ScaleCrop>
  <Company>HP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2024-09-05T06:54:00Z</dcterms:created>
  <dcterms:modified xsi:type="dcterms:W3CDTF">2024-09-05T06:56:00Z</dcterms:modified>
</cp:coreProperties>
</file>