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8" w:rsidRPr="006422D1" w:rsidRDefault="00832A68" w:rsidP="001A3D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Практичне заняття з </w:t>
      </w:r>
      <w:r w:rsidR="003D1A9B"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навчальної дисципліни «Управління </w:t>
      </w:r>
      <w:proofErr w:type="spellStart"/>
      <w:r w:rsidR="003D1A9B" w:rsidRPr="006422D1">
        <w:rPr>
          <w:rFonts w:ascii="Times New Roman" w:hAnsi="Times New Roman"/>
          <w:b/>
          <w:bCs/>
          <w:sz w:val="24"/>
          <w:szCs w:val="24"/>
          <w:lang w:val="uk-UA"/>
        </w:rPr>
        <w:t>ритейл</w:t>
      </w:r>
      <w:proofErr w:type="spellEnd"/>
      <w:r w:rsidR="003D1A9B" w:rsidRPr="006422D1">
        <w:rPr>
          <w:rFonts w:ascii="Times New Roman" w:hAnsi="Times New Roman"/>
          <w:b/>
          <w:bCs/>
          <w:sz w:val="24"/>
          <w:szCs w:val="24"/>
          <w:lang w:val="uk-UA"/>
        </w:rPr>
        <w:t>-технологіями»</w:t>
      </w:r>
    </w:p>
    <w:p w:rsidR="00832A68" w:rsidRDefault="003D1A9B" w:rsidP="001A3D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тема «Комерційна діяльність в </w:t>
      </w:r>
      <w:proofErr w:type="spellStart"/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ритейлі</w:t>
      </w:r>
      <w:proofErr w:type="spellEnd"/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1A3D37" w:rsidRPr="006422D1" w:rsidRDefault="001A3D37" w:rsidP="001A3D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Завдання. Провести </w:t>
      </w:r>
      <w:bookmarkStart w:id="0" w:name="_GoBack"/>
      <w:bookmarkEnd w:id="0"/>
    </w:p>
    <w:p w:rsidR="00385FAA" w:rsidRPr="006422D1" w:rsidRDefault="00385FAA" w:rsidP="00385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br/>
      </w:r>
    </w:p>
    <w:tbl>
      <w:tblPr>
        <w:tblW w:w="588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343"/>
        <w:gridCol w:w="1039"/>
        <w:gridCol w:w="902"/>
        <w:gridCol w:w="915"/>
        <w:gridCol w:w="933"/>
      </w:tblGrid>
      <w:tr w:rsidR="00385FAA" w:rsidRPr="002847F4" w:rsidTr="00AA63A6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Товар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Річний прибуток, тис. грн.</w:t>
            </w:r>
          </w:p>
        </w:tc>
        <w:tc>
          <w:tcPr>
            <w:tcW w:w="3744" w:type="dxa"/>
            <w:gridSpan w:val="4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Реалізація за кварталами, тис. грн.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IV квартал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3700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4100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490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1300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2900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3800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3400</w:t>
            </w:r>
          </w:p>
        </w:tc>
      </w:tr>
      <w:tr w:rsidR="00385FAA" w:rsidRPr="002847F4" w:rsidTr="00AA63A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100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</w:tr>
    </w:tbl>
    <w:p w:rsidR="00385FAA" w:rsidRPr="006422D1" w:rsidRDefault="00385FAA" w:rsidP="00385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>Проведем 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АВС-</w:t>
      </w:r>
      <w:proofErr w:type="spellStart"/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анализ</w:t>
      </w:r>
      <w:proofErr w:type="spellEnd"/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запасів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. За критерій беремо показник прибуток за рік. В результате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выделили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группу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А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товарных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позиций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1, 9 и 8,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которые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составляют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около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80%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всех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запасов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фирмы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. В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группу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входят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товарные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позиции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4 и 7,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остальные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позиции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попали в </w:t>
      </w:r>
      <w:proofErr w:type="spellStart"/>
      <w:r w:rsidRPr="006422D1">
        <w:rPr>
          <w:rFonts w:ascii="Times New Roman" w:hAnsi="Times New Roman"/>
          <w:sz w:val="24"/>
          <w:szCs w:val="24"/>
          <w:lang w:val="uk-UA"/>
        </w:rPr>
        <w:t>группу</w:t>
      </w:r>
      <w:proofErr w:type="spellEnd"/>
      <w:r w:rsidRPr="006422D1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tbl>
      <w:tblPr>
        <w:tblW w:w="51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213"/>
        <w:gridCol w:w="1026"/>
        <w:gridCol w:w="1603"/>
        <w:gridCol w:w="806"/>
      </w:tblGrid>
      <w:tr w:rsidR="00385FAA" w:rsidRPr="002847F4" w:rsidTr="001A3D37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товару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Річний прибуток, тис. грн.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Частка товару, %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Частка наростаючим підсумком, %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Група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15640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100,00%</w:t>
            </w: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4900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31,33%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31,33%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A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3800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24,30%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55,63%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A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15,98%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71,61%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A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12,15%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83,76%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B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5,75%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89,51%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B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4,41%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93,93%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C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2,88%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96,80%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C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1,28%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98,08%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C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0,96%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99,04%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C</w:t>
            </w:r>
          </w:p>
        </w:tc>
      </w:tr>
      <w:tr w:rsidR="00385FAA" w:rsidRPr="002847F4" w:rsidTr="001A3D3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0,96%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100,00%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C</w:t>
            </w:r>
          </w:p>
        </w:tc>
      </w:tr>
    </w:tbl>
    <w:p w:rsidR="00385FAA" w:rsidRPr="006422D1" w:rsidRDefault="00385FAA" w:rsidP="00385F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4540" w:rsidRPr="006422D1" w:rsidRDefault="00385FAA" w:rsidP="008245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>Проведем</w:t>
      </w:r>
      <w:r w:rsidR="00824540" w:rsidRPr="006422D1">
        <w:rPr>
          <w:rFonts w:ascii="Times New Roman" w:hAnsi="Times New Roman"/>
          <w:sz w:val="24"/>
          <w:szCs w:val="24"/>
          <w:lang w:val="uk-UA"/>
        </w:rPr>
        <w:t>о</w:t>
      </w:r>
      <w:r w:rsidRPr="006422D1">
        <w:rPr>
          <w:rFonts w:ascii="Times New Roman" w:hAnsi="Times New Roman"/>
          <w:sz w:val="24"/>
          <w:szCs w:val="24"/>
          <w:lang w:val="uk-UA"/>
        </w:rPr>
        <w:t> 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XYZ-анал</w:t>
      </w:r>
      <w:r w:rsidR="00824540" w:rsidRPr="006422D1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з </w:t>
      </w:r>
      <w:r w:rsidR="00824540" w:rsidRPr="006422D1">
        <w:rPr>
          <w:rFonts w:ascii="Times New Roman" w:hAnsi="Times New Roman"/>
          <w:b/>
          <w:bCs/>
          <w:sz w:val="24"/>
          <w:szCs w:val="24"/>
          <w:lang w:val="uk-UA"/>
        </w:rPr>
        <w:t>товарів</w:t>
      </w:r>
      <w:r w:rsidRPr="006422D1">
        <w:rPr>
          <w:rFonts w:ascii="Times New Roman" w:hAnsi="Times New Roman"/>
          <w:sz w:val="24"/>
          <w:szCs w:val="24"/>
          <w:lang w:val="uk-UA"/>
        </w:rPr>
        <w:t>. XYZ</w:t>
      </w:r>
      <w:r w:rsidR="00824540" w:rsidRPr="006422D1">
        <w:rPr>
          <w:rFonts w:ascii="Times New Roman" w:hAnsi="Times New Roman"/>
          <w:sz w:val="24"/>
          <w:szCs w:val="24"/>
          <w:lang w:val="uk-UA"/>
        </w:rPr>
        <w:t xml:space="preserve">-аналіз передбачає використання коефіцієнту варіації, який розраховується за формулою: </w:t>
      </w:r>
    </w:p>
    <w:p w:rsidR="00824540" w:rsidRPr="006422D1" w:rsidRDefault="00385FAA" w:rsidP="0082454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lastRenderedPageBreak/>
        <w:br/>
      </w:r>
      <w:r w:rsidR="00EF67D9" w:rsidRPr="002847F4">
        <w:rPr>
          <w:rFonts w:ascii="Times New Roman" w:hAnsi="Times New Roman"/>
          <w:i/>
          <w:noProof/>
          <w:sz w:val="24"/>
          <w:szCs w:val="24"/>
          <w:lang w:val="uk-UA" w:eastAsia="uk-UA"/>
        </w:rPr>
        <w:drawing>
          <wp:inline distT="0" distB="0" distL="0" distR="0">
            <wp:extent cx="1900555" cy="7473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AA" w:rsidRPr="006422D1" w:rsidRDefault="00385FAA" w:rsidP="008245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br/>
      </w:r>
      <w:r w:rsidR="00824540" w:rsidRPr="006422D1">
        <w:rPr>
          <w:rFonts w:ascii="Times New Roman" w:hAnsi="Times New Roman"/>
          <w:sz w:val="24"/>
          <w:szCs w:val="24"/>
          <w:lang w:val="uk-UA"/>
        </w:rPr>
        <w:t xml:space="preserve">Чим менше значення коефіцієнту варіації, тим більш стабільні є продажі товарів. У відповідності із значенням коефіцієнту варіації всі товарні позиції діляться на три групи:  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>X, Y и Z.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До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 xml:space="preserve"> груп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и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X попадают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>ь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товар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>и з коефіцієнтом варіації менше 10%.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До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 xml:space="preserve"> груп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и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Y – това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 xml:space="preserve">ри з коефіцієнтом варіації від 10% до 25%. 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До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 xml:space="preserve"> гру</w:t>
      </w:r>
      <w:r w:rsidRPr="006422D1">
        <w:rPr>
          <w:rFonts w:ascii="Times New Roman" w:hAnsi="Times New Roman"/>
          <w:sz w:val="24"/>
          <w:szCs w:val="24"/>
          <w:lang w:val="uk-UA"/>
        </w:rPr>
        <w:t>п</w:t>
      </w:r>
      <w:r w:rsidR="00907664" w:rsidRPr="006422D1">
        <w:rPr>
          <w:rFonts w:ascii="Times New Roman" w:hAnsi="Times New Roman"/>
          <w:sz w:val="24"/>
          <w:szCs w:val="24"/>
          <w:lang w:val="uk-UA"/>
        </w:rPr>
        <w:t>и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Z – </w:t>
      </w:r>
      <w:r w:rsidR="00C60EDF" w:rsidRPr="006422D1">
        <w:rPr>
          <w:rFonts w:ascii="Times New Roman" w:hAnsi="Times New Roman"/>
          <w:sz w:val="24"/>
          <w:szCs w:val="24"/>
          <w:lang w:val="uk-UA"/>
        </w:rPr>
        <w:t>товари з коефіцієнтом варіації більше 25%.</w:t>
      </w:r>
    </w:p>
    <w:tbl>
      <w:tblPr>
        <w:tblW w:w="5176" w:type="dxa"/>
        <w:tblCellSpacing w:w="15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586"/>
        <w:gridCol w:w="586"/>
        <w:gridCol w:w="586"/>
        <w:gridCol w:w="586"/>
        <w:gridCol w:w="1370"/>
        <w:gridCol w:w="1526"/>
        <w:gridCol w:w="1325"/>
        <w:gridCol w:w="944"/>
      </w:tblGrid>
      <w:tr w:rsidR="002847F4" w:rsidRPr="002847F4" w:rsidTr="00AA63A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C60EDF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Товар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C60EDF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Реалізація за кварталами, тис. грн.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C60EDF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Реалізація в середньому за квартал, тис. грн.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907664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Середнє квадратичне відхилення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907664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Коефіцієнт варіації</w:t>
            </w:r>
            <w:r w:rsidR="00385FAA"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Группа</w:t>
            </w:r>
            <w:proofErr w:type="spellEnd"/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3700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4100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3825,0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238,48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X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58,31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Y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187,08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31%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Z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1950,0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855,86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44%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Z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60,42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76%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Z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490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15,81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X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1235,0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132,95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11%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Y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2900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1725,0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898,26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52%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Z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3575,0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268,10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X</w:t>
            </w:r>
          </w:p>
        </w:tc>
      </w:tr>
      <w:tr w:rsidR="002847F4" w:rsidRPr="002847F4" w:rsidTr="00AA63A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158,11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18%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Y</w:t>
            </w:r>
          </w:p>
        </w:tc>
      </w:tr>
    </w:tbl>
    <w:p w:rsidR="00385FAA" w:rsidRPr="006422D1" w:rsidRDefault="002F69E7" w:rsidP="00385F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 xml:space="preserve">До групи Х увійшли товари 1,6 та 9. До групи 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22D1">
        <w:rPr>
          <w:rFonts w:ascii="Times New Roman" w:hAnsi="Times New Roman"/>
          <w:sz w:val="24"/>
          <w:szCs w:val="24"/>
          <w:lang w:val="uk-UA"/>
        </w:rPr>
        <w:t>Y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– 2, 7 и 10. </w:t>
      </w:r>
      <w:r w:rsidRPr="006422D1">
        <w:rPr>
          <w:rFonts w:ascii="Times New Roman" w:hAnsi="Times New Roman"/>
          <w:sz w:val="24"/>
          <w:szCs w:val="24"/>
          <w:lang w:val="uk-UA"/>
        </w:rPr>
        <w:t>Інші потрапили до групи Z – 3, 4, 5 и 8.</w:t>
      </w:r>
      <w:r w:rsidRPr="006422D1">
        <w:rPr>
          <w:rFonts w:ascii="Times New Roman" w:hAnsi="Times New Roman"/>
          <w:sz w:val="24"/>
          <w:szCs w:val="24"/>
          <w:lang w:val="uk-UA"/>
        </w:rPr>
        <w:br/>
        <w:t xml:space="preserve">Поєднаємо результати 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АВС та XYZ-аналізу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67C98" w:rsidRPr="006422D1">
        <w:rPr>
          <w:rFonts w:ascii="Times New Roman" w:hAnsi="Times New Roman"/>
          <w:sz w:val="24"/>
          <w:szCs w:val="24"/>
          <w:lang w:val="uk-UA"/>
        </w:rPr>
        <w:t xml:space="preserve">При цьому </w:t>
      </w:r>
      <w:r w:rsidR="00761E3E" w:rsidRPr="006422D1">
        <w:rPr>
          <w:rFonts w:ascii="Times New Roman" w:hAnsi="Times New Roman"/>
          <w:sz w:val="24"/>
          <w:szCs w:val="24"/>
          <w:lang w:val="uk-UA"/>
        </w:rPr>
        <w:t>в</w:t>
      </w:r>
      <w:r w:rsidR="00D67C98" w:rsidRPr="00642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E3E" w:rsidRPr="006422D1">
        <w:rPr>
          <w:rFonts w:ascii="Times New Roman" w:hAnsi="Times New Roman"/>
          <w:sz w:val="24"/>
          <w:szCs w:val="24"/>
          <w:lang w:val="uk-UA"/>
        </w:rPr>
        <w:t xml:space="preserve">загальному випадку формується дев’ять груп товарів.  У </w:t>
      </w:r>
      <w:r w:rsidR="00D67C98" w:rsidRPr="006422D1">
        <w:rPr>
          <w:rFonts w:ascii="Times New Roman" w:hAnsi="Times New Roman"/>
          <w:sz w:val="24"/>
          <w:szCs w:val="24"/>
          <w:lang w:val="uk-UA"/>
        </w:rPr>
        <w:t>нашо</w:t>
      </w:r>
      <w:r w:rsidR="00761E3E" w:rsidRPr="006422D1">
        <w:rPr>
          <w:rFonts w:ascii="Times New Roman" w:hAnsi="Times New Roman"/>
          <w:sz w:val="24"/>
          <w:szCs w:val="24"/>
          <w:lang w:val="uk-UA"/>
        </w:rPr>
        <w:t xml:space="preserve">му </w:t>
      </w:r>
      <w:r w:rsidR="00D67C98" w:rsidRPr="006422D1">
        <w:rPr>
          <w:rFonts w:ascii="Times New Roman" w:hAnsi="Times New Roman"/>
          <w:sz w:val="24"/>
          <w:szCs w:val="24"/>
          <w:lang w:val="uk-UA"/>
        </w:rPr>
        <w:t>випадку отримали наступну товарну матрицю.</w:t>
      </w:r>
    </w:p>
    <w:tbl>
      <w:tblPr>
        <w:tblW w:w="5176" w:type="dxa"/>
        <w:jc w:val="center"/>
        <w:tblCellSpacing w:w="15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336"/>
        <w:gridCol w:w="1695"/>
        <w:gridCol w:w="1351"/>
      </w:tblGrid>
      <w:tr w:rsidR="00385FAA" w:rsidRPr="002847F4" w:rsidTr="00761E3E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B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85FAA" w:rsidRPr="006422D1" w:rsidRDefault="00385FAA" w:rsidP="00AA6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</w:t>
            </w:r>
          </w:p>
        </w:tc>
      </w:tr>
      <w:tr w:rsidR="00385FAA" w:rsidRPr="002847F4" w:rsidTr="00761E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1, 9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85FAA" w:rsidRPr="002847F4" w:rsidTr="00761E3E">
        <w:trPr>
          <w:tblCellSpacing w:w="15" w:type="dxa"/>
          <w:jc w:val="center"/>
        </w:trPr>
        <w:tc>
          <w:tcPr>
            <w:tcW w:w="0" w:type="auto"/>
            <w:shd w:val="clear" w:color="auto" w:fill="F0F0F6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AA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Y</w:t>
            </w:r>
          </w:p>
        </w:tc>
        <w:tc>
          <w:tcPr>
            <w:tcW w:w="0" w:type="auto"/>
            <w:shd w:val="clear" w:color="auto" w:fill="F0F0F6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0F0F6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7, 10</w:t>
            </w:r>
          </w:p>
        </w:tc>
        <w:tc>
          <w:tcPr>
            <w:tcW w:w="0" w:type="auto"/>
            <w:shd w:val="clear" w:color="auto" w:fill="F0F0F6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76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85FAA" w:rsidRPr="002847F4" w:rsidTr="00761E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57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57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4, 8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57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85FAA" w:rsidRPr="006422D1" w:rsidRDefault="00385FAA" w:rsidP="00571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3, 5</w:t>
            </w:r>
          </w:p>
        </w:tc>
      </w:tr>
    </w:tbl>
    <w:p w:rsidR="00571062" w:rsidRPr="006422D1" w:rsidRDefault="00571062" w:rsidP="005710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>Товари групи АХ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> (1</w:t>
      </w:r>
      <w:r w:rsidR="008075F4" w:rsidRPr="006422D1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 9) </w:t>
      </w:r>
      <w:r w:rsidRPr="006422D1">
        <w:rPr>
          <w:rFonts w:ascii="Times New Roman" w:hAnsi="Times New Roman"/>
          <w:sz w:val="24"/>
          <w:szCs w:val="24"/>
          <w:lang w:val="uk-UA"/>
        </w:rPr>
        <w:t>відрізняються високим прибутком та стабільністю продаж. Необхідно забезпечити постійну наявність товарів, але не потрібно створювати надлишковий страховий запас, оскільки попит на ці товари гарно прогнозується.</w:t>
      </w:r>
    </w:p>
    <w:p w:rsidR="008075F4" w:rsidRPr="006422D1" w:rsidRDefault="008075F4" w:rsidP="00A47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 xml:space="preserve">Товари групи </w:t>
      </w:r>
      <w:r w:rsidRPr="006422D1">
        <w:rPr>
          <w:rFonts w:ascii="Times New Roman" w:hAnsi="Times New Roman"/>
          <w:bCs/>
          <w:sz w:val="24"/>
          <w:szCs w:val="24"/>
          <w:lang w:val="uk-UA"/>
        </w:rPr>
        <w:t>BY</w:t>
      </w:r>
      <w:r w:rsidRPr="006422D1">
        <w:rPr>
          <w:rFonts w:ascii="Times New Roman" w:hAnsi="Times New Roman"/>
          <w:bCs/>
          <w:sz w:val="24"/>
          <w:szCs w:val="24"/>
          <w:lang w:val="uk-UA"/>
        </w:rPr>
        <w:t xml:space="preserve"> (7 та 10) при достатньо високих прибутках мають недостатню стабільність </w:t>
      </w:r>
      <w:r w:rsidR="00A47492" w:rsidRPr="006422D1">
        <w:rPr>
          <w:rFonts w:ascii="Times New Roman" w:hAnsi="Times New Roman"/>
          <w:bCs/>
          <w:sz w:val="24"/>
          <w:szCs w:val="24"/>
          <w:lang w:val="uk-UA"/>
        </w:rPr>
        <w:t xml:space="preserve">продажів. </w:t>
      </w:r>
      <w:r w:rsidRPr="006422D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47BE9" w:rsidRPr="006422D1">
        <w:rPr>
          <w:rFonts w:ascii="Times New Roman" w:hAnsi="Times New Roman"/>
          <w:bCs/>
          <w:sz w:val="24"/>
          <w:szCs w:val="24"/>
          <w:lang w:val="uk-UA"/>
        </w:rPr>
        <w:t xml:space="preserve">Вважається, що товари групи </w:t>
      </w:r>
      <w:r w:rsidR="00847BE9" w:rsidRPr="006422D1">
        <w:rPr>
          <w:rFonts w:ascii="Times New Roman" w:hAnsi="Times New Roman"/>
          <w:sz w:val="24"/>
          <w:szCs w:val="24"/>
          <w:lang w:val="uk-UA"/>
        </w:rPr>
        <w:t>Y</w:t>
      </w:r>
      <w:r w:rsidR="00847BE9" w:rsidRPr="006422D1">
        <w:rPr>
          <w:rFonts w:ascii="Times New Roman" w:hAnsi="Times New Roman"/>
          <w:sz w:val="24"/>
          <w:szCs w:val="24"/>
          <w:lang w:val="uk-UA"/>
        </w:rPr>
        <w:t xml:space="preserve"> мають певний тренд в обсягах продажах – зростання або скорочення. Для того, щоб забезпечити постійну їх наявність, необхідно збільшити страховий запас.</w:t>
      </w:r>
    </w:p>
    <w:p w:rsidR="006422D1" w:rsidRPr="006422D1" w:rsidRDefault="00847BE9" w:rsidP="006422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 xml:space="preserve">Товари групи 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AZ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 (8 та 4) </w:t>
      </w:r>
      <w:r w:rsidRPr="006422D1">
        <w:rPr>
          <w:rFonts w:ascii="Times New Roman" w:hAnsi="Times New Roman"/>
          <w:bCs/>
          <w:sz w:val="24"/>
          <w:szCs w:val="24"/>
          <w:lang w:val="uk-UA"/>
        </w:rPr>
        <w:t>відрізняються високим прибутком та низькою прогнозованістю попиту. Щоб забезпечити пос</w:t>
      </w:r>
      <w:r w:rsidR="003A479E" w:rsidRPr="006422D1">
        <w:rPr>
          <w:rFonts w:ascii="Times New Roman" w:hAnsi="Times New Roman"/>
          <w:bCs/>
          <w:sz w:val="24"/>
          <w:szCs w:val="24"/>
          <w:lang w:val="uk-UA"/>
        </w:rPr>
        <w:t>тійну наявність товарів цієї групи, іноді створюються надлишкові страхові запаси, але це може призвести до зростання товарного запасу</w:t>
      </w:r>
      <w:r w:rsidR="006422D1" w:rsidRPr="006422D1">
        <w:rPr>
          <w:rFonts w:ascii="Times New Roman" w:hAnsi="Times New Roman"/>
          <w:bCs/>
          <w:sz w:val="24"/>
          <w:szCs w:val="24"/>
          <w:lang w:val="uk-UA"/>
        </w:rPr>
        <w:t xml:space="preserve">. По </w:t>
      </w:r>
      <w:r w:rsidR="006422D1" w:rsidRPr="006422D1">
        <w:rPr>
          <w:rFonts w:ascii="Times New Roman" w:hAnsi="Times New Roman"/>
          <w:bCs/>
          <w:sz w:val="24"/>
          <w:szCs w:val="24"/>
          <w:lang w:val="uk-UA"/>
        </w:rPr>
        <w:lastRenderedPageBreak/>
        <w:t>таких товарах можна рекомендувати перейти на більш часті поставки, працювати з надійними постачальниками, більш ретельно організовувати контроль за реалізацією цих товарів.</w:t>
      </w:r>
    </w:p>
    <w:p w:rsidR="006422D1" w:rsidRDefault="00385FAA" w:rsidP="00642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sz w:val="24"/>
          <w:szCs w:val="24"/>
          <w:lang w:val="uk-UA"/>
        </w:rPr>
        <w:t>Для товар</w:t>
      </w:r>
      <w:r w:rsidR="006422D1" w:rsidRPr="006422D1">
        <w:rPr>
          <w:rFonts w:ascii="Times New Roman" w:hAnsi="Times New Roman"/>
          <w:sz w:val="24"/>
          <w:szCs w:val="24"/>
          <w:lang w:val="uk-UA"/>
        </w:rPr>
        <w:t>і</w:t>
      </w:r>
      <w:r w:rsidRPr="006422D1">
        <w:rPr>
          <w:rFonts w:ascii="Times New Roman" w:hAnsi="Times New Roman"/>
          <w:sz w:val="24"/>
          <w:szCs w:val="24"/>
          <w:lang w:val="uk-UA"/>
        </w:rPr>
        <w:t>в </w:t>
      </w:r>
      <w:r w:rsidR="006422D1" w:rsidRPr="006422D1">
        <w:rPr>
          <w:rFonts w:ascii="Times New Roman" w:hAnsi="Times New Roman"/>
          <w:b/>
          <w:bCs/>
          <w:sz w:val="24"/>
          <w:szCs w:val="24"/>
          <w:lang w:val="uk-UA"/>
        </w:rPr>
        <w:t>групи</w:t>
      </w: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 СХ</w:t>
      </w:r>
      <w:r w:rsidR="006422D1" w:rsidRPr="006422D1">
        <w:rPr>
          <w:rFonts w:ascii="Times New Roman" w:hAnsi="Times New Roman"/>
          <w:sz w:val="24"/>
          <w:szCs w:val="24"/>
          <w:lang w:val="uk-UA"/>
        </w:rPr>
        <w:t xml:space="preserve"> (6) можна зменшити </w:t>
      </w:r>
      <w:r w:rsidR="006422D1">
        <w:rPr>
          <w:rFonts w:ascii="Times New Roman" w:hAnsi="Times New Roman"/>
          <w:sz w:val="24"/>
          <w:szCs w:val="24"/>
          <w:lang w:val="uk-UA"/>
        </w:rPr>
        <w:t>страховий запас до мінімального рівня та використовувати систему управління запасами з постійною періодичністю між за</w:t>
      </w:r>
      <w:r w:rsidR="00460C82">
        <w:rPr>
          <w:rFonts w:ascii="Times New Roman" w:hAnsi="Times New Roman"/>
          <w:sz w:val="24"/>
          <w:szCs w:val="24"/>
          <w:lang w:val="uk-UA"/>
        </w:rPr>
        <w:t>м</w:t>
      </w:r>
      <w:r w:rsidR="006422D1">
        <w:rPr>
          <w:rFonts w:ascii="Times New Roman" w:hAnsi="Times New Roman"/>
          <w:sz w:val="24"/>
          <w:szCs w:val="24"/>
          <w:lang w:val="uk-UA"/>
        </w:rPr>
        <w:t>овленнями.</w:t>
      </w:r>
    </w:p>
    <w:p w:rsidR="00385FAA" w:rsidRPr="006422D1" w:rsidRDefault="006422D1" w:rsidP="00642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товарів </w:t>
      </w:r>
      <w:r w:rsidR="00385FAA" w:rsidRPr="006422D1">
        <w:rPr>
          <w:rFonts w:ascii="Times New Roman" w:hAnsi="Times New Roman"/>
          <w:b/>
          <w:bCs/>
          <w:sz w:val="24"/>
          <w:szCs w:val="24"/>
          <w:lang w:val="uk-UA"/>
        </w:rPr>
        <w:t>груп</w:t>
      </w:r>
      <w:r w:rsidR="00460C82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="00385FAA"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 CY</w:t>
      </w:r>
      <w:r w:rsidR="00460C82">
        <w:rPr>
          <w:rFonts w:ascii="Times New Roman" w:hAnsi="Times New Roman"/>
          <w:sz w:val="24"/>
          <w:szCs w:val="24"/>
          <w:lang w:val="uk-UA"/>
        </w:rPr>
        <w:t xml:space="preserve"> (2) можна 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перейти на систему </w:t>
      </w:r>
      <w:r w:rsidR="00460C82">
        <w:rPr>
          <w:rFonts w:ascii="Times New Roman" w:hAnsi="Times New Roman"/>
          <w:sz w:val="24"/>
          <w:szCs w:val="24"/>
          <w:lang w:val="uk-UA"/>
        </w:rPr>
        <w:t xml:space="preserve">з постійним обсягом замовлення, але при цьому формувати страховий запас, виходячи з наявних фінансових ресурсів. 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br/>
      </w:r>
      <w:r w:rsidR="00460C82">
        <w:rPr>
          <w:rFonts w:ascii="Times New Roman" w:hAnsi="Times New Roman"/>
          <w:sz w:val="24"/>
          <w:szCs w:val="24"/>
          <w:lang w:val="uk-UA"/>
        </w:rPr>
        <w:t>До групи товарів</w:t>
      </w:r>
      <w:r w:rsidR="00385FAA" w:rsidRPr="006422D1">
        <w:rPr>
          <w:rFonts w:ascii="Times New Roman" w:hAnsi="Times New Roman"/>
          <w:b/>
          <w:bCs/>
          <w:sz w:val="24"/>
          <w:szCs w:val="24"/>
          <w:lang w:val="uk-UA"/>
        </w:rPr>
        <w:t xml:space="preserve"> CZ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> </w:t>
      </w:r>
      <w:r w:rsidR="00460C82">
        <w:rPr>
          <w:rFonts w:ascii="Times New Roman" w:hAnsi="Times New Roman"/>
          <w:sz w:val="24"/>
          <w:szCs w:val="24"/>
          <w:lang w:val="uk-UA"/>
        </w:rPr>
        <w:t>потрапили товари 3 та</w:t>
      </w:r>
      <w:r w:rsidR="00385FAA" w:rsidRPr="006422D1">
        <w:rPr>
          <w:rFonts w:ascii="Times New Roman" w:hAnsi="Times New Roman"/>
          <w:sz w:val="24"/>
          <w:szCs w:val="24"/>
          <w:lang w:val="uk-UA"/>
        </w:rPr>
        <w:t xml:space="preserve"> 5.</w:t>
      </w:r>
      <w:r w:rsidR="00460C82">
        <w:rPr>
          <w:rFonts w:ascii="Times New Roman" w:hAnsi="Times New Roman"/>
          <w:sz w:val="24"/>
          <w:szCs w:val="24"/>
          <w:lang w:val="uk-UA"/>
        </w:rPr>
        <w:t xml:space="preserve"> За можливістю ці товари краще вивести з асортименту. У будь-якому випадку </w:t>
      </w:r>
      <w:r w:rsidR="005926C4">
        <w:rPr>
          <w:rFonts w:ascii="Times New Roman" w:hAnsi="Times New Roman"/>
          <w:sz w:val="24"/>
          <w:szCs w:val="24"/>
          <w:lang w:val="uk-UA"/>
        </w:rPr>
        <w:t>їх необхідно регулярно контролювати, оскільки саме через ці товари виникають неліквідні залишки, через які компанія несе втрати.</w:t>
      </w:r>
    </w:p>
    <w:p w:rsidR="00385FAA" w:rsidRPr="006422D1" w:rsidRDefault="00385FAA" w:rsidP="00385F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5FAA" w:rsidRPr="006422D1" w:rsidRDefault="00385FAA" w:rsidP="00832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2A68" w:rsidRPr="006422D1" w:rsidRDefault="00832A68" w:rsidP="00F51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t>Задача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. З метою посилення контролю </w:t>
      </w:r>
      <w:r w:rsidR="00C35161" w:rsidRPr="006422D1">
        <w:rPr>
          <w:rFonts w:ascii="Times New Roman" w:hAnsi="Times New Roman"/>
          <w:sz w:val="24"/>
          <w:szCs w:val="24"/>
          <w:lang w:val="uk-UA"/>
        </w:rPr>
        <w:t xml:space="preserve">товарних запасів 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для скорочення загального обсягу грошових коштів у запасах, необхідно провести аналіз </w:t>
      </w:r>
      <w:r w:rsidR="00F51DB4" w:rsidRPr="006422D1">
        <w:rPr>
          <w:rFonts w:ascii="Times New Roman" w:hAnsi="Times New Roman"/>
          <w:sz w:val="24"/>
          <w:szCs w:val="24"/>
          <w:lang w:val="uk-UA"/>
        </w:rPr>
        <w:t xml:space="preserve">асортименту запасів за методами АВС та </w:t>
      </w:r>
      <w:r w:rsidR="00F51DB4" w:rsidRPr="006422D1">
        <w:rPr>
          <w:rFonts w:ascii="Times New Roman" w:hAnsi="Times New Roman"/>
          <w:bCs/>
          <w:sz w:val="24"/>
          <w:szCs w:val="24"/>
          <w:lang w:val="uk-UA"/>
        </w:rPr>
        <w:t>XYZ</w:t>
      </w:r>
      <w:r w:rsidRPr="006422D1">
        <w:rPr>
          <w:rFonts w:ascii="Times New Roman" w:hAnsi="Times New Roman"/>
          <w:sz w:val="24"/>
          <w:szCs w:val="24"/>
          <w:lang w:val="uk-UA"/>
        </w:rPr>
        <w:t xml:space="preserve">, в результате </w:t>
      </w:r>
      <w:r w:rsidR="00F51DB4" w:rsidRPr="006422D1">
        <w:rPr>
          <w:rFonts w:ascii="Times New Roman" w:hAnsi="Times New Roman"/>
          <w:sz w:val="24"/>
          <w:szCs w:val="24"/>
          <w:lang w:val="uk-UA"/>
        </w:rPr>
        <w:t xml:space="preserve">чого </w:t>
      </w:r>
      <w:r w:rsidR="00C826DC" w:rsidRPr="006422D1">
        <w:rPr>
          <w:rFonts w:ascii="Times New Roman" w:hAnsi="Times New Roman"/>
          <w:sz w:val="24"/>
          <w:szCs w:val="24"/>
          <w:lang w:val="uk-UA"/>
        </w:rPr>
        <w:t xml:space="preserve">розподілити асортиментні позиції по групах та сформувати відповідні рекомендації щодо управління запасами. Асортимент </w:t>
      </w:r>
      <w:r w:rsidR="00223EC9" w:rsidRPr="006422D1">
        <w:rPr>
          <w:rFonts w:ascii="Times New Roman" w:hAnsi="Times New Roman"/>
          <w:sz w:val="24"/>
          <w:szCs w:val="24"/>
          <w:lang w:val="uk-UA"/>
        </w:rPr>
        <w:t>товарів, прибуток</w:t>
      </w:r>
      <w:r w:rsidR="00C826DC" w:rsidRPr="006422D1">
        <w:rPr>
          <w:rFonts w:ascii="Times New Roman" w:hAnsi="Times New Roman"/>
          <w:sz w:val="24"/>
          <w:szCs w:val="24"/>
          <w:lang w:val="uk-UA"/>
        </w:rPr>
        <w:t xml:space="preserve">, а також обсяги </w:t>
      </w:r>
      <w:r w:rsidR="00223EC9" w:rsidRPr="006422D1">
        <w:rPr>
          <w:rFonts w:ascii="Times New Roman" w:hAnsi="Times New Roman"/>
          <w:sz w:val="24"/>
          <w:szCs w:val="24"/>
          <w:lang w:val="uk-UA"/>
        </w:rPr>
        <w:t>реалізації</w:t>
      </w:r>
      <w:r w:rsidR="00C826DC" w:rsidRPr="006422D1">
        <w:rPr>
          <w:rFonts w:ascii="Times New Roman" w:hAnsi="Times New Roman"/>
          <w:sz w:val="24"/>
          <w:szCs w:val="24"/>
          <w:lang w:val="uk-UA"/>
        </w:rPr>
        <w:t xml:space="preserve"> за кварталами наведено в таблиці.</w:t>
      </w:r>
    </w:p>
    <w:p w:rsidR="0052750F" w:rsidRPr="006422D1" w:rsidRDefault="0052750F" w:rsidP="00832A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88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470"/>
        <w:gridCol w:w="892"/>
        <w:gridCol w:w="907"/>
        <w:gridCol w:w="923"/>
        <w:gridCol w:w="940"/>
      </w:tblGrid>
      <w:tr w:rsidR="002847F4" w:rsidRPr="002847F4" w:rsidTr="000C348A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C35161" w:rsidP="00C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Товар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223EC9" w:rsidP="00223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Річний прибуток, тис.</w:t>
            </w:r>
            <w:r w:rsidR="00C839EA"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223EC9" w:rsidP="00C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Реалізація</w:t>
            </w:r>
            <w:r w:rsidR="00C839EA" w:rsidRPr="006422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 кварталами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C839EA" w:rsidP="00CC1525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C839EA" w:rsidP="00CC1525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C839EA" w:rsidP="00CC1525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839EA" w:rsidRPr="006422D1" w:rsidRDefault="00C839EA" w:rsidP="00CC1525">
            <w:pPr>
              <w:spacing w:after="0" w:line="240" w:lineRule="auto"/>
              <w:ind w:left="-60" w:firstLine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IV квартал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3267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2667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2467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2333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2733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3600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18900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10070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17490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10600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1560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1818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2636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340</w:t>
            </w:r>
          </w:p>
        </w:tc>
      </w:tr>
      <w:tr w:rsidR="002847F4" w:rsidRPr="002847F4" w:rsidTr="000C348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839EA" w:rsidRPr="006422D1" w:rsidRDefault="00C839EA" w:rsidP="00CC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2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1725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2500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2750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839EA" w:rsidRPr="002847F4" w:rsidRDefault="00C839EA" w:rsidP="00C8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47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</w:tr>
    </w:tbl>
    <w:p w:rsidR="00F13DA9" w:rsidRPr="006422D1" w:rsidRDefault="00F13DA9" w:rsidP="00832A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3DA9" w:rsidRPr="006422D1" w:rsidRDefault="00F13DA9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22D1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sectPr w:rsidR="00F13DA9" w:rsidRPr="006422D1" w:rsidSect="00F4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8"/>
    <w:rsid w:val="000C348A"/>
    <w:rsid w:val="001A3D37"/>
    <w:rsid w:val="00223EC9"/>
    <w:rsid w:val="002847F4"/>
    <w:rsid w:val="002F69E7"/>
    <w:rsid w:val="00385FAA"/>
    <w:rsid w:val="003A479E"/>
    <w:rsid w:val="003D1A9B"/>
    <w:rsid w:val="003E082C"/>
    <w:rsid w:val="00460C82"/>
    <w:rsid w:val="0052750F"/>
    <w:rsid w:val="00556C3E"/>
    <w:rsid w:val="00571062"/>
    <w:rsid w:val="005926C4"/>
    <w:rsid w:val="00624578"/>
    <w:rsid w:val="006422D1"/>
    <w:rsid w:val="00727811"/>
    <w:rsid w:val="00761E3E"/>
    <w:rsid w:val="008075F4"/>
    <w:rsid w:val="00824540"/>
    <w:rsid w:val="00832A68"/>
    <w:rsid w:val="00847BE9"/>
    <w:rsid w:val="00907664"/>
    <w:rsid w:val="00A47492"/>
    <w:rsid w:val="00B755B5"/>
    <w:rsid w:val="00BC72DA"/>
    <w:rsid w:val="00C35161"/>
    <w:rsid w:val="00C60EDF"/>
    <w:rsid w:val="00C826DC"/>
    <w:rsid w:val="00C839EA"/>
    <w:rsid w:val="00CC1525"/>
    <w:rsid w:val="00D67C98"/>
    <w:rsid w:val="00E1239B"/>
    <w:rsid w:val="00EF6493"/>
    <w:rsid w:val="00EF67D9"/>
    <w:rsid w:val="00F13DA9"/>
    <w:rsid w:val="00F4540C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239D"/>
  <w15:docId w15:val="{777FF19C-0EB2-4882-A856-525CA02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0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32A68"/>
    <w:rPr>
      <w:b/>
      <w:bCs/>
    </w:rPr>
  </w:style>
  <w:style w:type="character" w:styleId="a5">
    <w:name w:val="Hyperlink"/>
    <w:uiPriority w:val="99"/>
    <w:semiHidden/>
    <w:unhideWhenUsed/>
    <w:rsid w:val="00832A68"/>
    <w:rPr>
      <w:color w:val="0000FF"/>
      <w:u w:val="single"/>
    </w:rPr>
  </w:style>
  <w:style w:type="character" w:styleId="a6">
    <w:name w:val="Emphasis"/>
    <w:uiPriority w:val="20"/>
    <w:qFormat/>
    <w:rsid w:val="00832A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2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666F-6A34-4F51-B04D-AC2F3852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3</cp:revision>
  <dcterms:created xsi:type="dcterms:W3CDTF">2024-05-13T11:48:00Z</dcterms:created>
  <dcterms:modified xsi:type="dcterms:W3CDTF">2024-05-13T11:50:00Z</dcterms:modified>
</cp:coreProperties>
</file>