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502" w:rsidRDefault="00567858" w:rsidP="005678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7858">
        <w:rPr>
          <w:rFonts w:ascii="Times New Roman" w:hAnsi="Times New Roman" w:cs="Times New Roman"/>
          <w:sz w:val="28"/>
          <w:szCs w:val="28"/>
          <w:lang w:val="uk-UA"/>
        </w:rPr>
        <w:t>Практичне заняття 14</w:t>
      </w:r>
    </w:p>
    <w:p w:rsidR="00567858" w:rsidRPr="00BA4A4C" w:rsidRDefault="00567858" w:rsidP="00567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67858" w:rsidRPr="00567858" w:rsidRDefault="00567858" w:rsidP="0056785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85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Інтернет-маркетинг</w:t>
      </w:r>
    </w:p>
    <w:p w:rsidR="00BA4A4C" w:rsidRDefault="00BA4A4C" w:rsidP="00BA4A4C">
      <w:pPr>
        <w:pStyle w:val="NormalWeb"/>
        <w:jc w:val="center"/>
        <w:rPr>
          <w:rFonts w:ascii="Times New Roman,Bold" w:hAnsi="Times New Roman,Bold"/>
          <w:sz w:val="28"/>
          <w:szCs w:val="28"/>
        </w:rPr>
      </w:pPr>
      <w:r>
        <w:rPr>
          <w:rFonts w:ascii="Times New Roman,Bold" w:hAnsi="Times New Roman,Bold"/>
          <w:sz w:val="28"/>
          <w:szCs w:val="28"/>
          <w:lang w:val="uk-UA"/>
        </w:rPr>
        <w:t>П</w:t>
      </w:r>
      <w:r>
        <w:rPr>
          <w:rFonts w:ascii="Times New Roman,Bold" w:hAnsi="Times New Roman,Bold"/>
          <w:sz w:val="28"/>
          <w:szCs w:val="28"/>
        </w:rPr>
        <w:t>ерелік тем індивідуальних творчих завдань.</w:t>
      </w:r>
    </w:p>
    <w:p w:rsidR="00BA4A4C" w:rsidRPr="00BA4A4C" w:rsidRDefault="00BA4A4C" w:rsidP="00BA4A4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 Сучасні тенденції розвитку цифрового маркетингу.</w:t>
      </w:r>
      <w:r>
        <w:rPr>
          <w:sz w:val="28"/>
          <w:szCs w:val="28"/>
        </w:rPr>
        <w:br/>
        <w:t>2. Концепція цифрового маркетингу і його практичне значення.</w:t>
      </w:r>
      <w:r>
        <w:rPr>
          <w:sz w:val="28"/>
          <w:szCs w:val="28"/>
        </w:rPr>
        <w:br/>
        <w:t>3. Порівняльний аналіз бізнес-моделей сайтів.</w:t>
      </w:r>
      <w:r>
        <w:rPr>
          <w:sz w:val="28"/>
          <w:szCs w:val="28"/>
        </w:rPr>
        <w:br/>
        <w:t>4. Інтернет-технології маркетингових досліджень (на прикладі).</w:t>
      </w:r>
      <w:r>
        <w:rPr>
          <w:sz w:val="28"/>
          <w:szCs w:val="28"/>
        </w:rPr>
        <w:br/>
        <w:t xml:space="preserve">5. Інтернет-технології як інструмент кабінетних маркетингових досліджень.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6. Джерела вторинних маркетингових досліджень. </w:t>
      </w:r>
      <w:r>
        <w:rPr>
          <w:sz w:val="28"/>
          <w:szCs w:val="28"/>
        </w:rPr>
        <w:br/>
      </w:r>
      <w:r>
        <w:rPr>
          <w:sz w:val="28"/>
          <w:szCs w:val="28"/>
        </w:rPr>
        <w:t>7. Використання інтернет-технологій для проведення польових (первинних) маркетингових досліджень.</w:t>
      </w:r>
      <w:r>
        <w:rPr>
          <w:sz w:val="28"/>
          <w:szCs w:val="28"/>
        </w:rPr>
        <w:br/>
        <w:t>8. Інтернет-технології як інструмент опитувань.</w:t>
      </w:r>
      <w:r>
        <w:rPr>
          <w:sz w:val="28"/>
          <w:szCs w:val="28"/>
        </w:rPr>
        <w:br/>
        <w:t xml:space="preserve">9. Інтернет-ринок і його сегментація. </w:t>
      </w:r>
      <w:r>
        <w:rPr>
          <w:sz w:val="28"/>
          <w:szCs w:val="28"/>
        </w:rPr>
        <w:br/>
      </w:r>
      <w:r>
        <w:rPr>
          <w:sz w:val="28"/>
          <w:szCs w:val="28"/>
        </w:rPr>
        <w:t>10. Специфіка товарної політики на інтернет-ринку.</w:t>
      </w:r>
      <w:r>
        <w:rPr>
          <w:sz w:val="28"/>
          <w:szCs w:val="28"/>
        </w:rPr>
        <w:br/>
        <w:t>11. Переваги і недоліки інтернет-реклами.</w:t>
      </w:r>
      <w:r>
        <w:rPr>
          <w:sz w:val="28"/>
          <w:szCs w:val="28"/>
        </w:rPr>
        <w:br/>
        <w:t>12. Визначення завдання для цифрової комунікації.</w:t>
      </w:r>
      <w:r>
        <w:rPr>
          <w:sz w:val="28"/>
          <w:szCs w:val="28"/>
        </w:rPr>
        <w:br/>
        <w:t xml:space="preserve">13. Позиція продукту/бренду на ринку, його впізнаванність, дистрибуція. 14. Канали продажів: як ці чинники впливають на комунікаційну стратегію підприємства. </w:t>
      </w:r>
      <w:r>
        <w:rPr>
          <w:sz w:val="28"/>
          <w:szCs w:val="28"/>
        </w:rPr>
        <w:br/>
      </w:r>
      <w:r>
        <w:rPr>
          <w:sz w:val="28"/>
          <w:szCs w:val="28"/>
        </w:rPr>
        <w:t>15. Шлях споживчого рішення (СonsumerDecisionJourney) як основа цифрової стратегії.</w:t>
      </w:r>
      <w:r>
        <w:rPr>
          <w:sz w:val="28"/>
          <w:szCs w:val="28"/>
        </w:rPr>
        <w:br/>
        <w:t>16. Порівняльний аналіз носіїв інтернет-реклами.</w:t>
      </w:r>
      <w:r>
        <w:rPr>
          <w:sz w:val="28"/>
          <w:szCs w:val="28"/>
        </w:rPr>
        <w:br/>
        <w:t xml:space="preserve">17. Контекстна інтернет-реклама: сутність, особливості розробки та оцінювання результативності.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18. Сервіси розміщення інтернет-реклами в пошукових системах і на тематичних сайтах. </w:t>
      </w:r>
      <w:r>
        <w:rPr>
          <w:sz w:val="28"/>
          <w:szCs w:val="28"/>
        </w:rPr>
        <w:br/>
      </w:r>
      <w:r>
        <w:rPr>
          <w:sz w:val="28"/>
          <w:szCs w:val="28"/>
        </w:rPr>
        <w:t>19. Особливості розробки та реалізації рекламної інтернет-кампанії.</w:t>
      </w:r>
      <w:r>
        <w:rPr>
          <w:sz w:val="28"/>
          <w:szCs w:val="28"/>
        </w:rPr>
        <w:br/>
        <w:t xml:space="preserve">20. Комунікативні показники оцінювання результативності інтернет-реклами. </w:t>
      </w:r>
      <w:r>
        <w:rPr>
          <w:sz w:val="28"/>
          <w:szCs w:val="28"/>
        </w:rPr>
        <w:br/>
      </w:r>
      <w:r>
        <w:rPr>
          <w:sz w:val="28"/>
          <w:szCs w:val="28"/>
        </w:rPr>
        <w:t>21. Економічні показники оцінювання результативності інтернет-реклами. 22. Просування інтернет-ресурсу на підставі заходів SEO.</w:t>
      </w:r>
      <w:r>
        <w:rPr>
          <w:sz w:val="28"/>
          <w:szCs w:val="28"/>
        </w:rPr>
        <w:br/>
        <w:t>23. SEO-оптимізація і просування сайту.</w:t>
      </w:r>
      <w:r>
        <w:rPr>
          <w:sz w:val="28"/>
          <w:szCs w:val="28"/>
        </w:rPr>
        <w:br/>
        <w:t>24. Просування інтернет-ресурсу на основі заходів SMO.</w:t>
      </w:r>
      <w:r>
        <w:rPr>
          <w:sz w:val="28"/>
          <w:szCs w:val="28"/>
        </w:rPr>
        <w:br/>
        <w:t xml:space="preserve">25. Методи стимулювання продажів з використанням цифрових технологій. </w:t>
      </w:r>
    </w:p>
    <w:p w:rsidR="00BA4A4C" w:rsidRDefault="00BA4A4C" w:rsidP="00BA4A4C">
      <w:pPr>
        <w:pStyle w:val="NormalWeb"/>
        <w:jc w:val="both"/>
      </w:pPr>
    </w:p>
    <w:p w:rsidR="00567858" w:rsidRPr="00567858" w:rsidRDefault="00567858" w:rsidP="005678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67858" w:rsidRPr="00567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58"/>
    <w:rsid w:val="00256502"/>
    <w:rsid w:val="00567858"/>
    <w:rsid w:val="00877230"/>
    <w:rsid w:val="00B044E6"/>
    <w:rsid w:val="00B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B65A86"/>
  <w15:chartTrackingRefBased/>
  <w15:docId w15:val="{AD895AE3-9EA3-874D-ABA3-C9F9013D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A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1501</Characters>
  <Application>Microsoft Office Word</Application>
  <DocSecurity>0</DocSecurity>
  <Lines>166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1</cp:revision>
  <dcterms:created xsi:type="dcterms:W3CDTF">2024-05-06T11:19:00Z</dcterms:created>
  <dcterms:modified xsi:type="dcterms:W3CDTF">2024-05-06T12:07:00Z</dcterms:modified>
</cp:coreProperties>
</file>