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1E" w:rsidRDefault="00175E1E" w:rsidP="00175E1E">
      <w:pPr>
        <w:shd w:val="clear" w:color="auto" w:fill="FFFFFF"/>
        <w:spacing w:after="0" w:line="50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uk-UA"/>
        </w:rPr>
      </w:pPr>
      <w:r w:rsidRPr="00175E1E">
        <w:rPr>
          <w:rFonts w:ascii="Arial" w:eastAsia="Times New Roman" w:hAnsi="Arial" w:cs="Arial"/>
          <w:color w:val="000000"/>
          <w:kern w:val="36"/>
          <w:sz w:val="39"/>
          <w:szCs w:val="39"/>
          <w:lang w:eastAsia="uk-UA"/>
        </w:rPr>
        <w:t>Тема 8. Облік і звітність в оподаткуванні суб’єктів господарювання на інших системах оподаткування</w:t>
      </w:r>
    </w:p>
    <w:p w:rsidR="00175E1E" w:rsidRDefault="00175E1E" w:rsidP="00175E1E">
      <w:pPr>
        <w:shd w:val="clear" w:color="auto" w:fill="FFFFFF"/>
        <w:spacing w:after="0" w:line="50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uk-UA"/>
        </w:rPr>
      </w:pPr>
    </w:p>
    <w:p w:rsidR="00175E1E" w:rsidRPr="00175E1E" w:rsidRDefault="00175E1E" w:rsidP="00175E1E">
      <w:pPr>
        <w:shd w:val="clear" w:color="auto" w:fill="FFFFFF"/>
        <w:spacing w:after="0" w:line="507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9"/>
          <w:lang w:eastAsia="uk-UA"/>
        </w:rPr>
      </w:pPr>
      <w:r w:rsidRPr="00175E1E">
        <w:rPr>
          <w:rFonts w:ascii="Arial" w:eastAsia="Times New Roman" w:hAnsi="Arial" w:cs="Arial"/>
          <w:color w:val="000000"/>
          <w:kern w:val="36"/>
          <w:sz w:val="36"/>
          <w:szCs w:val="39"/>
          <w:lang w:eastAsia="uk-UA"/>
        </w:rPr>
        <w:t>Групи платників єдиного податку в Україні</w:t>
      </w:r>
    </w:p>
    <w:p w:rsid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Розміри лімітів в ПКУ для «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єдинників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 не змінювали, але через збільшення МЗП у 2024 році граничні розміри збільшаться.</w:t>
      </w:r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Тож, </w:t>
      </w:r>
      <w:r w:rsidRPr="00175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 1 січня 2024 року ліміт доходу станови</w:t>
      </w:r>
      <w:bookmarkStart w:id="0" w:name="_GoBack"/>
      <w:bookmarkEnd w:id="0"/>
      <w:r w:rsidRPr="00175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тиме:</w:t>
      </w:r>
    </w:p>
    <w:p w:rsidR="00175E1E" w:rsidRPr="00175E1E" w:rsidRDefault="00175E1E" w:rsidP="00175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 група (167 МЗП) – 1 185 700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175E1E" w:rsidRPr="00175E1E" w:rsidRDefault="00175E1E" w:rsidP="00175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ІІ група (834 МЗП) – 5 921 400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175E1E" w:rsidRPr="00175E1E" w:rsidRDefault="00175E1E" w:rsidP="00175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ІІІ група (1167 МЗП) – 8 285 700 грн.</w:t>
      </w:r>
    </w:p>
    <w:p w:rsidR="00175E1E" w:rsidRPr="00175E1E" w:rsidRDefault="00175E1E" w:rsidP="00175E1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Звертаємо увагу, що з 1 серпня 2023 року було скасовано пільги для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фізосіб-”єдинників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” І та ІІ груп. За Законом №3219 починаючи з серпня 2023 року вони знову сплачують авансові внески з ЄП (за винятком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ФОПів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ТОТ).  Докладніше про це </w:t>
      </w:r>
      <w:hyperlink r:id="rId6" w:tgtFrame="_blank" w:history="1">
        <w:r w:rsidRPr="00175E1E">
          <w:rPr>
            <w:rFonts w:ascii="Arial" w:eastAsia="Times New Roman" w:hAnsi="Arial" w:cs="Arial"/>
            <w:color w:val="E6374A"/>
            <w:sz w:val="24"/>
            <w:szCs w:val="24"/>
            <w:u w:val="single"/>
            <w:lang w:eastAsia="uk-UA"/>
          </w:rPr>
          <w:t>тут. </w:t>
        </w:r>
      </w:hyperlink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 2024 році застосовуватимуться такі ставки ЄП:</w:t>
      </w:r>
    </w:p>
    <w:p w:rsidR="00175E1E" w:rsidRPr="00175E1E" w:rsidRDefault="00175E1E" w:rsidP="00175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І групи – до 10% від розміру прожиткового мінімуму для працездатних осіб, встановленого законом на 1 січня звітного року;</w:t>
      </w:r>
    </w:p>
    <w:p w:rsidR="00175E1E" w:rsidRPr="00175E1E" w:rsidRDefault="00175E1E" w:rsidP="00175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ІІ групи – до 20% від розміру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мінзарплати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встановленої законом на 1 січня звітного року;</w:t>
      </w:r>
    </w:p>
    <w:p w:rsidR="00175E1E" w:rsidRPr="00175E1E" w:rsidRDefault="00175E1E" w:rsidP="00175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ІІІ групи – у відсотках до доходу.</w:t>
      </w:r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Максимальні ставки єдиного податку з 01.01.2024 року:</w:t>
      </w:r>
    </w:p>
    <w:p w:rsidR="00175E1E" w:rsidRPr="00175E1E" w:rsidRDefault="00175E1E" w:rsidP="00175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1 група ФОП – 302,80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/міс., тобто 10% від прожиткового мінімуму;</w:t>
      </w:r>
    </w:p>
    <w:p w:rsidR="00175E1E" w:rsidRPr="00175E1E" w:rsidRDefault="00175E1E" w:rsidP="00175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2 група ФОП – 1420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/міс., тобто 20% від мінімальної зарплати.</w:t>
      </w:r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Єдиний соціальний внесок: </w:t>
      </w:r>
    </w:p>
    <w:p w:rsidR="00175E1E" w:rsidRPr="00175E1E" w:rsidRDefault="00175E1E" w:rsidP="00175E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мінімальна сума ЄСВ - 1562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січень-березень, 1760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квітень-грудень;</w:t>
      </w:r>
    </w:p>
    <w:p w:rsidR="00175E1E" w:rsidRPr="00175E1E" w:rsidRDefault="00175E1E" w:rsidP="00175E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максимальна сума ЄСВ - 23 430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січень-березень, 26400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квітень-грудень;</w:t>
      </w:r>
    </w:p>
    <w:p w:rsidR="00175E1E" w:rsidRPr="00175E1E" w:rsidRDefault="00175E1E" w:rsidP="00175E1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Ставка ЄСВ за себе для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ФОПів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становитиме за І квартал 4686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а за ІІ-ІV квартали 2024 року - 5280 </w:t>
      </w:r>
      <w:proofErr w:type="spellStart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грн</w:t>
      </w:r>
      <w:proofErr w:type="spellEnd"/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що становить 22% від мінімальної зарплати щомісяця.</w:t>
      </w:r>
    </w:p>
    <w:p w:rsidR="00175E1E" w:rsidRPr="00175E1E" w:rsidRDefault="00175E1E" w:rsidP="00175E1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Приклади сплати єдиного податку та ЄСВ платниками ЄП ми навели у </w:t>
      </w:r>
      <w:hyperlink r:id="rId7" w:tgtFrame="_blank" w:history="1">
        <w:r w:rsidRPr="00175E1E">
          <w:rPr>
            <w:rFonts w:ascii="Arial" w:eastAsia="Times New Roman" w:hAnsi="Arial" w:cs="Arial"/>
            <w:i/>
            <w:iCs/>
            <w:color w:val="E6374A"/>
            <w:sz w:val="24"/>
            <w:szCs w:val="24"/>
            <w:u w:val="single"/>
            <w:lang w:eastAsia="uk-UA"/>
          </w:rPr>
          <w:t>цій статті.</w:t>
        </w:r>
      </w:hyperlink>
    </w:p>
    <w:p w:rsidR="00175E1E" w:rsidRPr="00175E1E" w:rsidRDefault="00175E1E" w:rsidP="00175E1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tbl>
      <w:tblPr>
        <w:tblW w:w="16245" w:type="dxa"/>
        <w:jc w:val="center"/>
        <w:tblBorders>
          <w:top w:val="single" w:sz="6" w:space="0" w:color="EDEDEF"/>
          <w:left w:val="single" w:sz="6" w:space="0" w:color="EDEDEF"/>
          <w:bottom w:val="single" w:sz="6" w:space="0" w:color="EDEDEF"/>
          <w:right w:val="single" w:sz="6" w:space="0" w:color="EDED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701"/>
        <w:gridCol w:w="2466"/>
        <w:gridCol w:w="2474"/>
        <w:gridCol w:w="2188"/>
        <w:gridCol w:w="3165"/>
      </w:tblGrid>
      <w:tr w:rsidR="00175E1E" w:rsidRPr="00175E1E" w:rsidTr="00175E1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Група платників єдиного податку</w:t>
            </w:r>
          </w:p>
        </w:tc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Річний дохід,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грн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Дозволена кількість працівників</w:t>
            </w:r>
          </w:p>
        </w:tc>
        <w:tc>
          <w:tcPr>
            <w:tcW w:w="0" w:type="auto"/>
            <w:gridSpan w:val="2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Не можуть бути платниками ЄП</w:t>
            </w:r>
          </w:p>
        </w:tc>
      </w:tr>
      <w:tr w:rsidR="00175E1E" w:rsidRPr="00175E1E" w:rsidTr="00175E1E">
        <w:trPr>
          <w:jc w:val="center"/>
        </w:trPr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Звичайна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shd w:val="clear" w:color="auto" w:fill="CCCCCC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Підвищена</w:t>
            </w: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175E1E" w:rsidRPr="00175E1E" w:rsidTr="00175E1E">
        <w:trPr>
          <w:jc w:val="center"/>
        </w:trPr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1 група: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1 185 700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Не використовують працю найманих осіб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не більше 10%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від прожиткового мінімуму для працездатних осіб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* (302,80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грн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/міс.)</w:t>
            </w:r>
          </w:p>
        </w:tc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15%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 — для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фізосіб-підприємців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у випадках, визначених </w:t>
            </w:r>
            <w:hyperlink r:id="rId8" w:anchor="pn9517" w:tgtFrame="_blank" w:history="1"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>п. 293.4 ПКУ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 з </w:t>
            </w:r>
            <w:hyperlink r:id="rId9" w:anchor="pn9397" w:tgtFrame="_blank" w:history="1"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>п. 291.5 ПКУ</w:t>
              </w:r>
            </w:hyperlink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Підприємці та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юрособи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, які здійснюють: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діяльність з організації, проведення азартних ігор, лотерей (крім їх розповсюдження), парі (букмекерське парі,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парі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тоталізатора);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обмін інвалюти;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виробництво, експорт, імпорт, продаж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підакцизних товарів (крім роздрібного продажу паливно-мастильних матеріалів в ємностях до 20 літрів та діяльності фізичних осіб, пов’язаної з роздрібним продажем пива, сидру, пері (без додання спирту) та столових вин);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видобуток, виробництво, реалізацію дорогоцінних металів і каміння, у т. ч. органогенного утворення (крім виробництва, постачання, продажу (реалізації) ювелірних та побутових виробів з дорогоцінних металів, каміння, дорогоцінного каміння органогенного утворення та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напівдорогоцінного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каміння);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видобуток, реалізацію корисних копалин, крім реалізації корисних копалин місцевого значення;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діяльність у сфері фінансового посередництва, крім діяльності у сфері страхування, яка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 xml:space="preserve">здійснюється страховими агентами, визначеними Законом України «Про страхування»,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сюрвейєрами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аварійними комісарами та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аджастерами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управління підприємствами;</w:t>
            </w:r>
          </w:p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— діяльність з надання послуг пошти (крім кур’єрської діяльності), діяльність з надання послуг фіксованого телефонного зв’язку з правом технічного обслуговування та експлуатації телекомунікаційних мереж і надання в користування каналів електрозв’язку (місцевого, міжміського, міжнародного), діяльність з надання послуг фіксованого телефонного зв’язку з використанням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безпроводового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доступу до телекомунікаційної мережі з правом технічного обслуговування і надання в користування каналів електрозв’язку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 xml:space="preserve">(місцевого, міжміського, міжнародного), діяльність з надання послуг рухомого (мобільного) телефонного зв’язку з правом технічного обслуговування та експлуатації телекомунікаційних мереж і надання в користування каналів електрозв’язку, діяльність з надання послуг з технічного обслуговування та експлуатації телекомунікаційних мереж,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мереж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ефірного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теле-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і радіомовлення,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проводового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радіомовлення та телемереж;</w:t>
            </w:r>
          </w:p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— надання послуг пошти (крім кур'єрської діяльності) та зв'язку (крім діяльності, що не підлягає ліцензуванню);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продаж предметів мистецтва та антикваріату, діяльність з організації торгів (аукціонів) виробами мистецтва, предметами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колекціонування або антикваріату;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організацію, проведення гастрольних заходів;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Фізособи-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підприємці, які: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здійснюють технічні випробування та дослідження, діяльність у сфері аудиту;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надають в оренду земельні ділянки загальною площею понад 0,2 га, житлові приміщення та/або їх частини, загальна площа яких перевищує 400 кв. м, нежитлові приміщення (споруди, будівлі) та/або їх частини з загальною площею понад 900 кв. м. Страхові (перестрахові) брокери,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компанії, інші фінансові установи, визначені законом;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реєстратори цінних паперів;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Госпсуб'єкти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у статутному капіталі яких сукупність часток, що належать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юрособам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які не є платниками ЄП, дорівнює або перевищує 25%;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Представництва, філії, відділення та інші відокремлені підрозділи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юрособи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яка не є платником ЄП;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Фізичні та юридичні особи — нерезиденти;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платники податків, які на день подання заяви про реєстрацію платником ЄП мають податковий борг, крім безнадійного податкового боргу, що виник внаслідок дії обставин непереборної сили (форс-мажорних обставин).</w:t>
            </w:r>
          </w:p>
        </w:tc>
      </w:tr>
      <w:tr w:rsidR="00175E1E" w:rsidRPr="00175E1E" w:rsidTr="00175E1E">
        <w:trPr>
          <w:jc w:val="center"/>
        </w:trPr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2 група: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5 921 400 грн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не використовують працю найманих осіб або кількість осіб, які перебувають з ними у трудових відносинах, одночасно не перевищує 10 осіб**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не більше 20%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МЗП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* (1420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грн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/міс.)</w:t>
            </w: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175E1E" w:rsidRPr="00175E1E" w:rsidTr="00175E1E">
        <w:trPr>
          <w:jc w:val="center"/>
        </w:trPr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3 група: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фізособи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- підприємці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які не використовують працю найманих осіб або кількість осіб, які перебувають з ними у трудових відносинах, не обмежена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та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юрособи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суб'є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кти господарювання будь-якої організаційно-правової форми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8 285 700 грн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Не використовують працю найманих осіб або кількість осіб, які перебувають з ними у трудових відносинах, не обмежена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Встановлюється у відсотках до доходу: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3%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доход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у;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5%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доход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у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Для юросіб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у випадках, визначених </w:t>
            </w:r>
            <w:hyperlink r:id="rId10" w:anchor="pn9523" w:tgtFrame="_blank" w:history="1"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>п. 293.5 ПКУ:</w:t>
              </w:r>
            </w:hyperlink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6%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зі сплатою ПДВ;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10%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без сплати ПДВ.</w:t>
            </w:r>
          </w:p>
        </w:tc>
        <w:tc>
          <w:tcPr>
            <w:tcW w:w="0" w:type="auto"/>
            <w:vMerge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vAlign w:val="center"/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175E1E" w:rsidRPr="00175E1E" w:rsidTr="00175E1E">
        <w:trPr>
          <w:jc w:val="center"/>
        </w:trPr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4 група: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сільсько-господарські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товаровиробники</w:t>
            </w:r>
          </w:p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а)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юрособи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незалежно від організаційно-правової форми;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б)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фізособ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и - підприємці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які провадять діяльність виключно в межах фермерського господарства, зареєстрованого відповідно до </w:t>
            </w:r>
            <w:hyperlink r:id="rId11" w:tgtFrame="_blank" w:history="1"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>Закону "Про фермерське господарство" </w:t>
              </w:r>
            </w:hyperlink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умови виконання сукупності таких вимог: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- здійснюють виключно вирощування, відгодовування сільгосппродукції, збирання, вилов, переробку такої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власновирощеної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або відгодованої продукції та її продаж;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- провадять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госпдіяльність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(крім постачання) за місцем податкової адреси;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- членами фермерського господарства такої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фізсоби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є лише члени її сім’ї у визначенні частини другої ст. 3 СКУ;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- площа сільгоспугідь та/або земель водного фонду у власності та/або користуванні членів фермерського господарства не менше 2 га, але не більше 20 га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для юросіб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 - частка с/г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товаровиробництва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за попередній податковий (звітний) рік дорівнює або перевищує 75%</w:t>
            </w:r>
          </w:p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для юросіб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- не обмежено</w:t>
            </w:r>
          </w:p>
          <w:p w:rsidR="00175E1E" w:rsidRPr="00175E1E" w:rsidRDefault="00175E1E" w:rsidP="00175E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для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фізосіб-підприємців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- 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не використовують працю найманих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осіб</w:t>
            </w:r>
          </w:p>
        </w:tc>
        <w:tc>
          <w:tcPr>
            <w:tcW w:w="0" w:type="auto"/>
            <w:gridSpan w:val="2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Розмір ставок податку з 1 га с/г угідь та/або земель водного фонду залежить від категорії (типу) земель, їх розташування. У відсотках бази він становить: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для ріллі, сіножатей і пасовищ (крім ріллі, сіножатей і пасовищ,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розташованих у гірських зонах та на поліських територіях, а також сільськогосподарських угідь, що перебувають в умовах закритого ґрунту) розмір ставок податку з одного гектара буде встановлено на рівні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0,95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для ріллі, сіножатей і пасовищ, розташованих у гірських зонах та на поліських територіях, 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0,57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для багаторічних насаджень (крім багаторічних насаджень, розташованих у гірських зонах та на поліських територіях) 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0,57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для багаторічних насаджень, розташованих у гірських зонах та на поліських територіях, 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0,19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для земель водного фонду ставка залишиться на рівні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2,43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для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 — </w:t>
            </w:r>
            <w:r w:rsidRPr="0017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6,33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F"/>
              <w:left w:val="single" w:sz="6" w:space="0" w:color="EDEDEF"/>
              <w:bottom w:val="single" w:sz="6" w:space="0" w:color="EDEDEF"/>
              <w:right w:val="single" w:sz="6" w:space="0" w:color="EDEDEF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175E1E" w:rsidRPr="00175E1E" w:rsidRDefault="00175E1E" w:rsidP="0017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Згідно з </w:t>
            </w:r>
            <w:hyperlink r:id="rId12" w:anchor="pn9416" w:tgtFrame="_blank" w:history="1"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 xml:space="preserve">п. 291.5-1 </w:t>
              </w:r>
              <w:proofErr w:type="spellStart"/>
              <w:r w:rsidRPr="00175E1E">
                <w:rPr>
                  <w:rFonts w:ascii="Times New Roman" w:eastAsia="Times New Roman" w:hAnsi="Times New Roman" w:cs="Times New Roman"/>
                  <w:color w:val="E6374A"/>
                  <w:sz w:val="23"/>
                  <w:szCs w:val="23"/>
                  <w:u w:val="single"/>
                  <w:lang w:eastAsia="uk-UA"/>
                </w:rPr>
                <w:t>ПКУ</w:t>
              </w:r>
            </w:hyperlink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госпсуб'єкти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: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у яких понад 50% доходу, отриманого від продажу с/г продукції власного виробництва та продуктів її переробки,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становить дохід від реалізації декоративних рослин (за винятком зрізаних квітів, вирощених на угіддях, які належать с/г товаровиробнику на праві власності або надані йому в користування, та продуктів їх переробки), диких тварин і птахів, хутряних виробів і хутра (крім хутрової сировини);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 xml:space="preserve">— які провадять діяльність з виробництва підакцизних товарів, крім виноматеріалів виноградних (коди згідно з УКТ ЗЕД 2204 29 - 2204 30), вироблених на підприємствах первинного виноробства для підприємств вторинного виноробства, які використовують такі виноматеріали для виробництва готової продукції, вин виноградних, вин плодово-ягідних та/або напоїв медових, вироблених та розлитих у споживчу тару малими виробництвами виноробної продукції з 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 xml:space="preserve">виноматеріалів виключно власного виробництва (не придбаних), отриманих шляхом переробки плодів, ягід, винограду, меду власного виробництва, а також крім електричної енергії, виробленої кваліфікованими </w:t>
            </w:r>
            <w:proofErr w:type="spellStart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когенераційними</w:t>
            </w:r>
            <w:proofErr w:type="spellEnd"/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установками та/або з відновлюваних джерел енергії (за умови, що дохід від реалізації такої енергії не перевищує 25 відсотків доходу від реалізації продукції (товарів, робіт, послуг) такого суб’єкта господарювання);</w:t>
            </w:r>
            <w:r w:rsidRPr="00175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— які станом на 1 січня базового (звітного) року мають податковий борг, за винятком безнадійного податкового боргу, який виник внаслідок дії обставин непереборної сили (форс-мажорних обставин).</w:t>
            </w:r>
          </w:p>
        </w:tc>
      </w:tr>
    </w:tbl>
    <w:p w:rsidR="00175E1E" w:rsidRPr="00175E1E" w:rsidRDefault="00175E1E" w:rsidP="00175E1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 =======================</w:t>
      </w:r>
    </w:p>
    <w:p w:rsidR="00175E1E" w:rsidRPr="00175E1E" w:rsidRDefault="00175E1E" w:rsidP="00175E1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* </w:t>
      </w:r>
      <w:r w:rsidRPr="00175E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Звертаємо увагу!</w:t>
      </w:r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 Це розміри максимальної ставки, а реальну для кожної адміністративно-територіальної одиниці мають встановити органи місцевого самоврядування. У зв'язку з захворюванням на </w:t>
      </w:r>
      <w:proofErr w:type="spellStart"/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коронавірус</w:t>
      </w:r>
      <w:proofErr w:type="spellEnd"/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Законом №540 надано право органам </w:t>
      </w:r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lastRenderedPageBreak/>
        <w:t>місцевого самоврядування  приймати рішення про внесення змін до прийнятого рішення про встановлення місцевих податків та/або зборів  щодо зменшення ставок єдиного податку. Про це читайте </w:t>
      </w:r>
      <w:hyperlink r:id="rId13" w:tgtFrame="_blank" w:history="1">
        <w:r w:rsidRPr="00175E1E">
          <w:rPr>
            <w:rFonts w:ascii="Arial" w:eastAsia="Times New Roman" w:hAnsi="Arial" w:cs="Arial"/>
            <w:i/>
            <w:iCs/>
            <w:color w:val="E6374A"/>
            <w:sz w:val="24"/>
            <w:szCs w:val="24"/>
            <w:u w:val="single"/>
            <w:lang w:eastAsia="uk-UA"/>
          </w:rPr>
          <w:t>тут.</w:t>
        </w:r>
      </w:hyperlink>
    </w:p>
    <w:p w:rsidR="00175E1E" w:rsidRPr="00175E1E" w:rsidRDefault="00175E1E" w:rsidP="00175E1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** Згідно з </w:t>
      </w:r>
      <w:hyperlink r:id="rId14" w:anchor="pn9385" w:tgtFrame="_blank" w:history="1">
        <w:r w:rsidRPr="00175E1E">
          <w:rPr>
            <w:rFonts w:ascii="Arial" w:eastAsia="Times New Roman" w:hAnsi="Arial" w:cs="Arial"/>
            <w:i/>
            <w:iCs/>
            <w:color w:val="E6374A"/>
            <w:sz w:val="24"/>
            <w:szCs w:val="24"/>
            <w:u w:val="single"/>
            <w:lang w:eastAsia="uk-UA"/>
          </w:rPr>
          <w:t>пп. 291.4.1 ПКУ,</w:t>
        </w:r>
      </w:hyperlink>
      <w:r w:rsidRPr="00175E1E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 не враховуються наймані працівники, які перебувають у відпустці у зв'язку з вагітністю і пологами та у відпустці по догляду за дитиною до досягнення нею передбаченого законодавством вік, а також працівники, призвані на військову службу під час мобілізації, на особливий період.</w:t>
      </w:r>
    </w:p>
    <w:p w:rsidR="00625F85" w:rsidRDefault="00625F85"/>
    <w:sectPr w:rsidR="00625F85" w:rsidSect="00175E1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A91"/>
    <w:multiLevelType w:val="multilevel"/>
    <w:tmpl w:val="199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23372"/>
    <w:multiLevelType w:val="multilevel"/>
    <w:tmpl w:val="B51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D5FEF"/>
    <w:multiLevelType w:val="multilevel"/>
    <w:tmpl w:val="519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6569F"/>
    <w:multiLevelType w:val="multilevel"/>
    <w:tmpl w:val="98A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B29A6"/>
    <w:multiLevelType w:val="multilevel"/>
    <w:tmpl w:val="1C7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E"/>
    <w:rsid w:val="00175E1E"/>
    <w:rsid w:val="006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-info">
    <w:name w:val="date-info"/>
    <w:basedOn w:val="a0"/>
    <w:rsid w:val="00175E1E"/>
  </w:style>
  <w:style w:type="character" w:styleId="a4">
    <w:name w:val="Hyperlink"/>
    <w:basedOn w:val="a0"/>
    <w:uiPriority w:val="99"/>
    <w:semiHidden/>
    <w:unhideWhenUsed/>
    <w:rsid w:val="00175E1E"/>
    <w:rPr>
      <w:color w:val="0000FF"/>
      <w:u w:val="single"/>
    </w:rPr>
  </w:style>
  <w:style w:type="character" w:styleId="a5">
    <w:name w:val="Strong"/>
    <w:basedOn w:val="a0"/>
    <w:uiPriority w:val="22"/>
    <w:qFormat/>
    <w:rsid w:val="00175E1E"/>
    <w:rPr>
      <w:b/>
      <w:bCs/>
    </w:rPr>
  </w:style>
  <w:style w:type="character" w:styleId="a6">
    <w:name w:val="Emphasis"/>
    <w:basedOn w:val="a0"/>
    <w:uiPriority w:val="20"/>
    <w:qFormat/>
    <w:rsid w:val="00175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-info">
    <w:name w:val="date-info"/>
    <w:basedOn w:val="a0"/>
    <w:rsid w:val="00175E1E"/>
  </w:style>
  <w:style w:type="character" w:styleId="a4">
    <w:name w:val="Hyperlink"/>
    <w:basedOn w:val="a0"/>
    <w:uiPriority w:val="99"/>
    <w:semiHidden/>
    <w:unhideWhenUsed/>
    <w:rsid w:val="00175E1E"/>
    <w:rPr>
      <w:color w:val="0000FF"/>
      <w:u w:val="single"/>
    </w:rPr>
  </w:style>
  <w:style w:type="character" w:styleId="a5">
    <w:name w:val="Strong"/>
    <w:basedOn w:val="a0"/>
    <w:uiPriority w:val="22"/>
    <w:qFormat/>
    <w:rsid w:val="00175E1E"/>
    <w:rPr>
      <w:b/>
      <w:bCs/>
    </w:rPr>
  </w:style>
  <w:style w:type="character" w:styleId="a6">
    <w:name w:val="Emphasis"/>
    <w:basedOn w:val="a0"/>
    <w:uiPriority w:val="20"/>
    <w:qFormat/>
    <w:rsid w:val="00175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DEF"/>
            <w:right w:val="none" w:sz="0" w:space="0" w:color="auto"/>
          </w:divBdr>
          <w:divsChild>
            <w:div w:id="925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755-17?page=54" TargetMode="External"/><Relationship Id="rId13" Type="http://schemas.openxmlformats.org/officeDocument/2006/relationships/hyperlink" Target="https://news.dtkt.ua/simple/individual-single-tax/617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s.dtkt.ua/simple/individual-single-tax/86063-iaki-rozmiri-podatkiv-cekaiut-na-fopiv-u-2024-roci-analiz-projektu-derzbiudzetu" TargetMode="External"/><Relationship Id="rId12" Type="http://schemas.openxmlformats.org/officeDocument/2006/relationships/hyperlink" Target="https://docs.dtkt.ua/doc/2755-17?page=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s.dtkt.ua/simple/individual-single-tax/84971-iak-platitimut-jep-fop-jedinniki-i-ta-ii-grup-z-1-serpnia-analiz-zakonu-span-classsnippet3219span" TargetMode="External"/><Relationship Id="rId11" Type="http://schemas.openxmlformats.org/officeDocument/2006/relationships/hyperlink" Target="https://docs.dtkt.ua/doc/973-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dtkt.ua/doc/2755-17?page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tkt.ua/doc/2755-17?page=54" TargetMode="External"/><Relationship Id="rId14" Type="http://schemas.openxmlformats.org/officeDocument/2006/relationships/hyperlink" Target="https://docs.dtkt.ua/doc/2755-17?page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7507</Words>
  <Characters>4280</Characters>
  <Application>Microsoft Office Word</Application>
  <DocSecurity>0</DocSecurity>
  <Lines>35</Lines>
  <Paragraphs>23</Paragraphs>
  <ScaleCrop>false</ScaleCrop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2024-05-06T06:39:00Z</dcterms:created>
  <dcterms:modified xsi:type="dcterms:W3CDTF">2024-05-06T06:40:00Z</dcterms:modified>
</cp:coreProperties>
</file>