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A2" w:rsidRPr="00BA51A2" w:rsidRDefault="00BA51A2" w:rsidP="00BA5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A2">
        <w:rPr>
          <w:rFonts w:ascii="Times New Roman" w:hAnsi="Times New Roman" w:cs="Times New Roman"/>
          <w:b/>
          <w:sz w:val="28"/>
          <w:szCs w:val="28"/>
        </w:rPr>
        <w:t>Практичне заняття 03.05.2024</w:t>
      </w:r>
    </w:p>
    <w:p w:rsidR="008218B3" w:rsidRPr="00BA51A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51A2">
        <w:rPr>
          <w:rFonts w:ascii="Times New Roman" w:hAnsi="Times New Roman" w:cs="Times New Roman"/>
          <w:sz w:val="28"/>
          <w:szCs w:val="28"/>
        </w:rPr>
        <w:t>Міжнародні платіжні системи та їх вплив на розвиток зовнішньоекономічної діяльності.</w:t>
      </w:r>
    </w:p>
    <w:p w:rsidR="00A14B22" w:rsidRPr="00BA51A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>Форми міжнародних розрахунків: переваги та недоліки.</w:t>
      </w:r>
    </w:p>
    <w:p w:rsidR="00A14B2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>Документарний акредитив як інструмент забезпечення міжнародних торгових операцій.</w:t>
      </w:r>
    </w:p>
    <w:p w:rsidR="00BA51A2" w:rsidRPr="00BA51A2" w:rsidRDefault="00BA51A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Інкасова форма розрахунків.</w:t>
      </w:r>
    </w:p>
    <w:p w:rsidR="00A14B22" w:rsidRPr="00BA51A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>Банківські гарантії в зовнішньоекономічній діяльності: види та особливості застосування.</w:t>
      </w:r>
    </w:p>
    <w:p w:rsidR="00A14B22" w:rsidRPr="00BA51A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>Роль SWIFT у здійсненні міжнародних розрахунків.</w:t>
      </w:r>
    </w:p>
    <w:p w:rsidR="00A14B22" w:rsidRPr="00BA51A2" w:rsidRDefault="00A14B2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>Ризики валютних операцій та методи їх мінімізації.</w:t>
      </w:r>
    </w:p>
    <w:p w:rsidR="00BA51A2" w:rsidRPr="00BA51A2" w:rsidRDefault="00BA51A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 xml:space="preserve">Відмінність акредитивної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A51A2">
        <w:rPr>
          <w:rFonts w:ascii="Times New Roman" w:hAnsi="Times New Roman" w:cs="Times New Roman"/>
          <w:sz w:val="28"/>
          <w:szCs w:val="28"/>
        </w:rPr>
        <w:t xml:space="preserve"> інкасової форм розрахунків. </w:t>
      </w:r>
    </w:p>
    <w:p w:rsidR="00BA51A2" w:rsidRDefault="00BA51A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 xml:space="preserve">Види акредитивів, що використовуються у міжнародній торгівлі. </w:t>
      </w:r>
    </w:p>
    <w:p w:rsidR="00BA51A2" w:rsidRPr="00BA51A2" w:rsidRDefault="00BA51A2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A2">
        <w:rPr>
          <w:rFonts w:ascii="Times New Roman" w:hAnsi="Times New Roman" w:cs="Times New Roman"/>
          <w:sz w:val="28"/>
          <w:szCs w:val="28"/>
        </w:rPr>
        <w:t xml:space="preserve">Випадки, при яких суб’єкти зовнішньоекономічної діяльності обирається авансовий спосіб розрахунків та платіж на відкритий рахунок. </w:t>
      </w:r>
    </w:p>
    <w:p w:rsidR="00BA51A2" w:rsidRPr="00BA51A2" w:rsidRDefault="00EC699A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A2" w:rsidRPr="00BA51A2">
        <w:rPr>
          <w:rFonts w:ascii="Times New Roman" w:hAnsi="Times New Roman" w:cs="Times New Roman"/>
          <w:sz w:val="28"/>
          <w:szCs w:val="28"/>
        </w:rPr>
        <w:t xml:space="preserve">Операції з векселями, які проводяться комерційними банками. </w:t>
      </w:r>
    </w:p>
    <w:p w:rsidR="00BA51A2" w:rsidRPr="00BA51A2" w:rsidRDefault="00EC699A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A2" w:rsidRPr="00BA51A2">
        <w:rPr>
          <w:rFonts w:ascii="Times New Roman" w:hAnsi="Times New Roman" w:cs="Times New Roman"/>
          <w:sz w:val="28"/>
          <w:szCs w:val="28"/>
        </w:rPr>
        <w:t xml:space="preserve">Правові основи використання чекової форми розрахунків. </w:t>
      </w:r>
    </w:p>
    <w:p w:rsidR="00BA51A2" w:rsidRPr="00BA51A2" w:rsidRDefault="00EC699A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A2" w:rsidRPr="00BA51A2">
        <w:rPr>
          <w:rFonts w:ascii="Times New Roman" w:hAnsi="Times New Roman" w:cs="Times New Roman"/>
          <w:sz w:val="28"/>
          <w:szCs w:val="28"/>
        </w:rPr>
        <w:t xml:space="preserve">Форми фінансування зовнішньоекономічної діяльності підприємства. </w:t>
      </w:r>
    </w:p>
    <w:p w:rsidR="00BA51A2" w:rsidRPr="00BA51A2" w:rsidRDefault="00EC699A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A2" w:rsidRPr="00BA51A2">
        <w:rPr>
          <w:rFonts w:ascii="Times New Roman" w:hAnsi="Times New Roman" w:cs="Times New Roman"/>
          <w:sz w:val="28"/>
          <w:szCs w:val="28"/>
        </w:rPr>
        <w:t xml:space="preserve">Лізинг як форма кредитування. </w:t>
      </w:r>
    </w:p>
    <w:p w:rsidR="00BA51A2" w:rsidRPr="00BA51A2" w:rsidRDefault="00EC699A" w:rsidP="00EC69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A2" w:rsidRPr="00BA51A2">
        <w:rPr>
          <w:rFonts w:ascii="Times New Roman" w:hAnsi="Times New Roman" w:cs="Times New Roman"/>
          <w:sz w:val="28"/>
          <w:szCs w:val="28"/>
        </w:rPr>
        <w:t xml:space="preserve">Спільні та відмінні риси факторингу та </w:t>
      </w:r>
      <w:proofErr w:type="spellStart"/>
      <w:r w:rsidR="00BA51A2" w:rsidRPr="00BA51A2">
        <w:rPr>
          <w:rFonts w:ascii="Times New Roman" w:hAnsi="Times New Roman" w:cs="Times New Roman"/>
          <w:sz w:val="28"/>
          <w:szCs w:val="28"/>
        </w:rPr>
        <w:t>форфейтингу</w:t>
      </w:r>
      <w:proofErr w:type="spellEnd"/>
      <w:r w:rsidR="00BA51A2" w:rsidRPr="00BA5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A51A2" w:rsidRPr="00BA51A2" w:rsidRDefault="00BA51A2" w:rsidP="00BA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1A2" w:rsidRPr="00BA5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B42"/>
    <w:multiLevelType w:val="hybridMultilevel"/>
    <w:tmpl w:val="187A42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4"/>
    <w:rsid w:val="008218B3"/>
    <w:rsid w:val="00A14B22"/>
    <w:rsid w:val="00BA51A2"/>
    <w:rsid w:val="00E97FA4"/>
    <w:rsid w:val="00E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838E-85B6-4B54-B088-5A976A72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2024-05-02T06:31:00Z</dcterms:created>
  <dcterms:modified xsi:type="dcterms:W3CDTF">2024-05-02T06:50:00Z</dcterms:modified>
</cp:coreProperties>
</file>