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08" w:rsidRPr="00223597" w:rsidRDefault="003C3EE0" w:rsidP="002532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Практичне заняття</w:t>
      </w:r>
      <w:r w:rsidR="00253208" w:rsidRPr="0022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7: </w:t>
      </w:r>
    </w:p>
    <w:p w:rsidR="00253208" w:rsidRPr="00223597" w:rsidRDefault="00253208" w:rsidP="0025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Глобальні виклики міжнародній та національній безпеці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Дослідження глобальної та міжнародної безпеки. Конфлікт цінностей та боротьба за ресурси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2. Маргіналізація країн, ерозія державності та неконтрольоване поширення зброї масового ураження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3. Міжнародний тероризм, глобалізація криміналу та неконтрольована міграція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4. Виклики інформаційній безпеці, глобальна криза демократії та культурної ідентичності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08" w:rsidRPr="00223597" w:rsidRDefault="00253208" w:rsidP="002532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Конституція України. URL: </w:t>
      </w:r>
    </w:p>
    <w:p w:rsidR="00253208" w:rsidRPr="00223597" w:rsidRDefault="009D6BA0" w:rsidP="0025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53208" w:rsidRPr="0022359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https://zakon.rada.gov.ua/laws/show/254%D0%BA/96%D0%B2%D1%80</w:t>
        </w:r>
      </w:hyperlink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 w:rsidRPr="0022359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http://zakon.rada.gov.ua/laws/show/2469-19</w:t>
        </w:r>
      </w:hyperlink>
      <w:r w:rsidRPr="00223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Горлинський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>; за загальною редакцією В.О. Ананьїна. – К.: КПІ ім. Ігоря Сікорського, 2021. – 345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Вибр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наук. праці / О. С. Власюк. – К.: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НІСД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>, 2016. – 528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Глобальна та національна безпека: підручник / В. І.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, Г. П. Ситник, В. Ф.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Смолянюк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та ін. / за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>. ред. Г. П. Ситника. – К.: НАДУ, 2016. – 784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Ліпкан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В. А. Національна безпека України: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вищих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/ В. А.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Ліпкан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>; Національна академія внутрішніх справ. - К.: Кондор, 2008. – 552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597">
        <w:rPr>
          <w:rFonts w:ascii="Times New Roman" w:hAnsi="Times New Roman" w:cs="Times New Roman"/>
          <w:sz w:val="24"/>
          <w:szCs w:val="24"/>
        </w:rPr>
        <w:t>Смолянюк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В. Ф.,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Деменко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О. Ф.,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Прибутько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П. С. Основи національної безпеки України. Навчальний посібник.- К. Паливода А. В., 2017. –140 с.</w:t>
      </w:r>
    </w:p>
    <w:p w:rsidR="003C3EE0" w:rsidRPr="003C3EE0" w:rsidRDefault="003C3EE0" w:rsidP="003C3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0" w:rsidRPr="003C3EE0" w:rsidRDefault="003C3EE0" w:rsidP="003C3EE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0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3C3EE0" w:rsidRPr="003C3EE0" w:rsidRDefault="003C3EE0" w:rsidP="003C3E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>Перерахуйте основні глобальні проблеми сучасної світової політики. Поясніть, які критерії бралися за основу.</w:t>
      </w:r>
    </w:p>
    <w:p w:rsidR="003C3EE0" w:rsidRPr="003C3EE0" w:rsidRDefault="003C3EE0" w:rsidP="003C3E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 xml:space="preserve">Яких заходів потрібно вжити для покращення екологічної ситуації у світі та окремих регіонах? </w:t>
      </w:r>
    </w:p>
    <w:p w:rsidR="003C3EE0" w:rsidRPr="003C3EE0" w:rsidRDefault="003C3EE0" w:rsidP="003C3E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 xml:space="preserve">Яка роль міжнародних урядових та неурядових організацій у вирішенні глобальних проблем сучасності? </w:t>
      </w:r>
    </w:p>
    <w:p w:rsidR="003C3EE0" w:rsidRPr="003C3EE0" w:rsidRDefault="003C3EE0" w:rsidP="003C3E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>Які заходи потрібно вживати для вирішення проблеми зростання населення? Наскільки довготривалими вони мають бути?</w:t>
      </w:r>
    </w:p>
    <w:p w:rsidR="003C3EE0" w:rsidRPr="003C3EE0" w:rsidRDefault="003C3EE0" w:rsidP="003C3E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 xml:space="preserve">Назвіть причини та умови зростання транснаціональної злочинності. Які заходи профілактики та попередження можете запропонувати? </w:t>
      </w:r>
    </w:p>
    <w:p w:rsidR="003C3EE0" w:rsidRPr="003C3EE0" w:rsidRDefault="003C3EE0" w:rsidP="003C3E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 xml:space="preserve">Від яких факторів та умов залежить ефективність міжнародної співпраці у вирішенні глобальних проблем XXI ст.? </w:t>
      </w:r>
    </w:p>
    <w:p w:rsidR="003C3EE0" w:rsidRPr="003C3EE0" w:rsidRDefault="003C3EE0" w:rsidP="003C3E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 xml:space="preserve">Охарактеризуйте міжнародне співробітництво у боротьбі з міжнародним тероризмом. </w:t>
      </w:r>
    </w:p>
    <w:p w:rsidR="003C3EE0" w:rsidRPr="003C3EE0" w:rsidRDefault="003C3EE0" w:rsidP="003C3E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 xml:space="preserve">Визначте поняття: внутрішній та міжнародний тероризм. </w:t>
      </w:r>
    </w:p>
    <w:p w:rsidR="003C3EE0" w:rsidRPr="003C3EE0" w:rsidRDefault="003C3EE0" w:rsidP="003C3E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Практичне завдання</w:t>
      </w:r>
    </w:p>
    <w:p w:rsidR="003C3EE0" w:rsidRPr="003C3EE0" w:rsidRDefault="003C3EE0" w:rsidP="003C3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 xml:space="preserve">1. Проаналізуйте одну з глобальних проблем сучасності та виявіть роль України в її вирішенні. </w:t>
      </w:r>
    </w:p>
    <w:p w:rsidR="003C3EE0" w:rsidRDefault="003C3EE0" w:rsidP="003C3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3C3EE0">
        <w:rPr>
          <w:rFonts w:ascii="Times New Roman" w:hAnsi="Times New Roman" w:cs="Times New Roman"/>
          <w:sz w:val="24"/>
          <w:szCs w:val="24"/>
          <w14:ligatures w14:val="none"/>
        </w:rPr>
        <w:t xml:space="preserve">2. Наведіть приклади неефективності прийнятих рішень ООН у вирішенні конфлікту, як третьої сторони. Запропонуйте власні шляхи вирішення проблеми такої неефективності. </w:t>
      </w:r>
    </w:p>
    <w:p w:rsidR="003C3EE0" w:rsidRPr="009D6BA0" w:rsidRDefault="009F40A5" w:rsidP="009F4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14:ligatures w14:val="none"/>
        </w:rPr>
      </w:pPr>
      <w:r w:rsidRPr="009D6BA0">
        <w:rPr>
          <w:rFonts w:ascii="Times New Roman" w:hAnsi="Times New Roman" w:cs="Times New Roman"/>
          <w:b/>
          <w:bCs/>
          <w:i/>
          <w:sz w:val="24"/>
          <w:szCs w:val="24"/>
          <w14:ligatures w14:val="none"/>
        </w:rPr>
        <w:lastRenderedPageBreak/>
        <w:t xml:space="preserve">Підготувати доповідь на тему: </w:t>
      </w:r>
    </w:p>
    <w:p w:rsidR="009F40A5" w:rsidRPr="009D6BA0" w:rsidRDefault="009F40A5" w:rsidP="009F40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BA0">
        <w:rPr>
          <w:rFonts w:ascii="Times New Roman" w:hAnsi="Times New Roman" w:cs="Times New Roman"/>
          <w:sz w:val="24"/>
          <w:szCs w:val="24"/>
        </w:rPr>
        <w:t>Поняття та виміри міжнародної безпеки. Регіональна безпека. Положення Статуту ООН.</w:t>
      </w:r>
    </w:p>
    <w:p w:rsidR="009F40A5" w:rsidRPr="009D6BA0" w:rsidRDefault="009F40A5" w:rsidP="009F40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BA0">
        <w:rPr>
          <w:rFonts w:ascii="Times New Roman" w:hAnsi="Times New Roman" w:cs="Times New Roman"/>
          <w:sz w:val="24"/>
          <w:szCs w:val="24"/>
        </w:rPr>
        <w:t>Міжнародна безпека в системі національної безпеки України.</w:t>
      </w:r>
    </w:p>
    <w:p w:rsidR="009F40A5" w:rsidRPr="009D6BA0" w:rsidRDefault="009F40A5" w:rsidP="009F40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BA0">
        <w:rPr>
          <w:rFonts w:ascii="Times New Roman" w:hAnsi="Times New Roman" w:cs="Times New Roman"/>
          <w:sz w:val="24"/>
          <w:szCs w:val="24"/>
        </w:rPr>
        <w:t>Поняття «держава, що не відбулася» («</w:t>
      </w:r>
      <w:proofErr w:type="spellStart"/>
      <w:r w:rsidRPr="009D6BA0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9D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BA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9D6BA0">
        <w:rPr>
          <w:rFonts w:ascii="Times New Roman" w:hAnsi="Times New Roman" w:cs="Times New Roman"/>
          <w:sz w:val="24"/>
          <w:szCs w:val="24"/>
        </w:rPr>
        <w:t>»), її ознаки та причини становлення. Які виклики це становить для суміжних держав та міжнародної безпеки.</w:t>
      </w:r>
    </w:p>
    <w:p w:rsidR="009F40A5" w:rsidRPr="009D6BA0" w:rsidRDefault="009F40A5" w:rsidP="009F40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BA0">
        <w:rPr>
          <w:rFonts w:ascii="Times New Roman" w:hAnsi="Times New Roman" w:cs="Times New Roman"/>
          <w:sz w:val="24"/>
          <w:szCs w:val="24"/>
        </w:rPr>
        <w:t xml:space="preserve">Індикатори та показники індексу крихкості. Аналіз ситуації в Україні за показниками </w:t>
      </w:r>
      <w:proofErr w:type="spellStart"/>
      <w:r w:rsidRPr="009D6BA0">
        <w:rPr>
          <w:rFonts w:ascii="Times New Roman" w:hAnsi="Times New Roman" w:cs="Times New Roman"/>
          <w:iCs/>
          <w:sz w:val="24"/>
          <w:szCs w:val="24"/>
        </w:rPr>
        <w:t>Fragile</w:t>
      </w:r>
      <w:proofErr w:type="spellEnd"/>
      <w:r w:rsidRPr="009D6B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6BA0">
        <w:rPr>
          <w:rFonts w:ascii="Times New Roman" w:hAnsi="Times New Roman" w:cs="Times New Roman"/>
          <w:iCs/>
          <w:sz w:val="24"/>
          <w:szCs w:val="24"/>
        </w:rPr>
        <w:t>States</w:t>
      </w:r>
      <w:proofErr w:type="spellEnd"/>
      <w:r w:rsidRPr="009D6B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D6BA0">
        <w:rPr>
          <w:rFonts w:ascii="Times New Roman" w:hAnsi="Times New Roman" w:cs="Times New Roman"/>
          <w:iCs/>
          <w:sz w:val="24"/>
          <w:szCs w:val="24"/>
        </w:rPr>
        <w:t>Index</w:t>
      </w:r>
      <w:proofErr w:type="spellEnd"/>
      <w:r w:rsidRPr="009D6BA0">
        <w:rPr>
          <w:rFonts w:ascii="Times New Roman" w:hAnsi="Times New Roman" w:cs="Times New Roman"/>
          <w:iCs/>
          <w:sz w:val="24"/>
          <w:szCs w:val="24"/>
        </w:rPr>
        <w:t>.</w:t>
      </w:r>
    </w:p>
    <w:p w:rsidR="009F40A5" w:rsidRPr="009D6BA0" w:rsidRDefault="009F40A5" w:rsidP="009F40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BA0">
        <w:rPr>
          <w:rFonts w:ascii="Times New Roman" w:hAnsi="Times New Roman" w:cs="Times New Roman"/>
          <w:iCs/>
          <w:sz w:val="24"/>
          <w:szCs w:val="24"/>
        </w:rPr>
        <w:t>Роль Ради Безпеки ООН у підтримці міжнародного миру та безпеки в сучасному світі та оцінка її ефективності на прикладі України.</w:t>
      </w:r>
    </w:p>
    <w:p w:rsidR="009F40A5" w:rsidRPr="009D6BA0" w:rsidRDefault="009F40A5" w:rsidP="009F40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BA0">
        <w:rPr>
          <w:rFonts w:ascii="Times New Roman" w:hAnsi="Times New Roman" w:cs="Times New Roman"/>
          <w:iCs/>
          <w:sz w:val="24"/>
          <w:szCs w:val="24"/>
        </w:rPr>
        <w:t>Незаконний обіг зброї як загроза національній безпеці. Цілі державної політики в сфері контролю за обігом зброї, повноваження держаних органів в цій сфері.</w:t>
      </w:r>
    </w:p>
    <w:p w:rsidR="009F40A5" w:rsidRPr="009D6BA0" w:rsidRDefault="009F40A5" w:rsidP="009F40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BA0">
        <w:rPr>
          <w:rFonts w:ascii="Times New Roman" w:hAnsi="Times New Roman" w:cs="Times New Roman"/>
          <w:iCs/>
          <w:sz w:val="24"/>
          <w:szCs w:val="24"/>
        </w:rPr>
        <w:t>Злочинність як негативний аспект глобалізації.</w:t>
      </w:r>
    </w:p>
    <w:p w:rsidR="009F40A5" w:rsidRPr="009F40A5" w:rsidRDefault="009F40A5" w:rsidP="009F4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C3EE0" w:rsidRPr="00223597" w:rsidRDefault="003C3EE0" w:rsidP="00253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208" w:rsidRPr="00223597" w:rsidRDefault="00253208" w:rsidP="002532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597">
        <w:rPr>
          <w:rFonts w:ascii="Times New Roman" w:hAnsi="Times New Roman" w:cs="Times New Roman"/>
          <w:b/>
          <w:i/>
          <w:sz w:val="24"/>
          <w:szCs w:val="24"/>
        </w:rPr>
        <w:t xml:space="preserve">Методичні рекомендації </w:t>
      </w:r>
    </w:p>
    <w:p w:rsidR="00966BC8" w:rsidRPr="00223597" w:rsidRDefault="00223597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1. Дослідження глобальної та міжнародної безпеки. Конфлікт цінностей та боротьба за ресурси</w:t>
      </w:r>
    </w:p>
    <w:p w:rsidR="008A67DF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Конфлікт цінностей та загострення боротьби за ресурси.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Ціннісні конфлікти різного порядку та характеру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відносяться до традиційних д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ля світової спільноти суперечно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стей, починаючи з найдавніших часів. У Новітній історії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найбільші ціннісні конфлікти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спостерігалися під час глобаль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ного протистояння двох сві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тових соціально-економічних сис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тем – соціалістичної та капіталістичної</w:t>
      </w:r>
      <w:r w:rsidR="00BA427C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. 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Після розпаду СРСР глоба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льний конфлікт ціннісних систем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у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соціалістично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-капіталістично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му (ідеологічному) розумінні їх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протистояння було вичерпано.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Натомість стала чітко помітною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різниця ціннісних систем голо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вних цивілізацій (культур), які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принципово не можуть бути 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ніфікованими на засадах умовної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«синтетичної» культури, яку практично неможливо створити.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Так, західна цивілізація, 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ідштовхуючись від канонів като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лицизму та протестантств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а, продовжує відстоювати власні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цінності, розглядаючи всю планету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ареалом їх поширення.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Такими цінностями є особливе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значення суб’єктивізму (особи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стого, пристрасного ставлення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до чогось або когось), а також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гіпертрофоване тлумачення 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ндивідуалізму (людина сама від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повідальна за формування своєї долі). Для західної люд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ини,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вихованої на цінностях грек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о-римської цивілізації, базовим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принципом ставлення до дійсності стало розуміння праці як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запоруки життєвого успіху. Раціональне ставлення до життя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(«працюй і матимеш успіх»),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ідея змагальності («змагайся 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прославишся»), прагнення до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прогресу («придумай те, чого ще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не було») утворили етичні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максими, які визначали характер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відносин держави й суспільств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а, рухали розвиток західної ци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вілізації спочатку в межах Євр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опейського континенту, а з епо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хи Великих географічних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відкритт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ів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– у межах всієї планети.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Православні цінності мают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ь якісно інший вигляд. Зокрема,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православна етика орієнтується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не на індивідуальну, а соборну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природу людської свідомості</w:t>
      </w:r>
      <w:r w:rsidR="00BA427C">
        <w:rPr>
          <w:rFonts w:ascii="Times New Roman" w:hAnsi="Times New Roman" w:cs="Times New Roman"/>
          <w:sz w:val="24"/>
          <w:szCs w:val="24"/>
          <w14:ligatures w14:val="none"/>
        </w:rPr>
        <w:t>. Звідси постають наступні мак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сими: єдність «я» і «ти», усвідомлення безперервно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го й гли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бинного зв’язку індивіда з су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спільством, колективні моральні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цінності. Головним способом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удосконалення суспільства пра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вославна етика вбачає удоскон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алення соціальних інститутів та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взаємин через моральне виховання особистості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На відміну від західної модернізації, що базуєть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ся на дії «безликого закону» та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відкидає як несуттєве псих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ологію окремої особистості, дія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православної етики спрямов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ується «зсередини назовні», від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особистого життя до суспільно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го. Цей ціннісний постулат пра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вославної цивілізації може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бути виражений формулою: рівень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суспільного порядку є функц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іонально залежним від морально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го рівня людей, що складають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таке суспільство. Разом з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 xml:space="preserve">тим,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глобального поширення цінно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сті східно-православної цивілі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зації на відміну від західної не 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були. В них у дивний спосіб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поєднуються містика, чутлив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ість, колективізм (общинність),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віра в прогрес, надія на кращ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 майбутнє якщо не для себе, то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для наступних поколінь. У цій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культурі на рівних співіснують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мотиви смирення та бунту, святості й гріховності, що можуть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набувати форм революційног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 викиду соціальної енергії, що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суперечить західному індиві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дуалізму, який схильний обирати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еволюційний шлях розвитку.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Цінності ісламу будуют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ься на етичному приписі покори,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послуху, підкорення. Обов’язок мусульманина –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вислуховува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ти та виконувати волю влади 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езалежно від особистої позиції.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Державна влада є священною,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вона від Аллаха. Відповідно, не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існує спонукальних чинників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, що примушують до силової змі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ни суспільно-політичного уст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рою. Так званий «парадокс ісла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му» полягає в тому, що, з одн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ого боку, він проповідує покір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ність та божественне визначенн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я всього сущого, з другого – не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обмежує активності людини,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готової боротися та померти за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віру. Смерть за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віру відчиняє ворота вічності.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Як наслідок, політична культур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 ісламу зводиться до того,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що єдність людської історії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планетарного буття, поєднання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релігій і культур не підлягають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сумніву, але шлях до універса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льної єдності людства полягає 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поширенні ісламу на весь світ.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Вирішальна роль у цьому належить проповіді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ісламу, духов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ному впливу на інших людей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. Якщо ж іновірці не сприймають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ісламу, то Коран забезпечує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можливість «священної війни» за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віру, коли така необхідність нав’язується обставинами життя 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ворожому оточенні. Незгодни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х прийняти іслам потрібно поко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рити. Крім того, в ісламській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цивілізації закріплено принцип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релігійної теократії як єдність 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неподільність духовної і світ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ської влади.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Теократичні настанови ісл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амської державності включають в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себе: принцип універсальності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ісламу – 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всезагальність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та не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подільність релігії в мусул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ьманському суспільстві; принцип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панісламізму – перекона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ність у єдності всіх мусульман,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об’єднаних вірою незалежно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від національності; ідею відро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дження Халіфату, заснованого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 законах шаріату, які являють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собою звід приписів розроблених у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V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ІІ-ХІІ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ст., що стосуються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норм цивільного, кримінальн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ого, процесуального, сімейного,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майнового права; ідею поверн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ення до початкового «істинного»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ісламу, звільненого від бага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толітніх нашарувань; демонстра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цію успіху й могутності; відмову від ас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кетизму; обов’язок во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лодаря піклуватися про своїх підданих.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Цінності буддизму визна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чаються практичною спрямованіс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тю цього вчення, яке виступає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проти особливого значення зов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нішніх форм релігійного житт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я та висуває в якості централь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них проблем особистісного бу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ття «страждання» та «звільнення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 страждання». Цю логі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ку продовжив індуїзм, який свою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основну тезу визначив як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трансформацію або вихід за межі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емпіричних знань. Головним є перетворення душі після смерті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людини. Сприятливе чи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несприятливе перетв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орення залежить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 карми (дії) – відплати (на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городи, подяки) за вчинки попе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реднього життя. В реальному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суспільстві концепція реінкар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нації (перевтілення) живить п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олітичний консерватизм, закріп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лює майнову нерівність, кастові відмінності, різновид заня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ть,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покірність владі, яка є дарунком богів та не підлягає змінам.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Ключо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ві ідеї індо-буддистської полі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тичної етики являють соб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ою повну протилежність західним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аналогам та звучать так: єдн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ість політики й моралі, єдність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істини та політики, цільний погляд 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світ, що виключає по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двійність стандартів, ненаси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льницькі дії у досягненні мети.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 цьому принцип громадя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нської непокори в етиці індусів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означає, що людина не пов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инна йти двома традиційними для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Заходу шляхами: вступати 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політичну боротьбу із застосу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ванням насильства, оскільки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це 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неморально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; займати пасивну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позицію, оскільки несправе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дливість і насильство ображають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людську гідність, 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бездіяльність – ображає вдвічі.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Цінності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конфуціансько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-буд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дистської цивілізації ще більше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підкреслюють неповторність та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строкатість етичних максим,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що є духовними </w:t>
      </w:r>
      <w:r w:rsidR="00C1149D">
        <w:rPr>
          <w:rFonts w:ascii="Times New Roman" w:hAnsi="Times New Roman" w:cs="Times New Roman"/>
          <w:sz w:val="24"/>
          <w:szCs w:val="24"/>
          <w14:ligatures w14:val="none"/>
        </w:rPr>
        <w:t>цінностями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учасного світу. Основу конфуці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анства утворюють наступні ос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обистісні риси: совість, відда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ність, синовня поштивість, гу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манність, інтелект, працелюбст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во, ощадливість, лицарство, дотримання середини,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прагма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тизм, утилітаризм, особиста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гідність, покора. Конфуціанство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приділяє більшу увагу питанн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ям так званого «гуманного прав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ління», спираючись на ідею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обожнення влади правителя, який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проголошується «сином не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ба». Воно ж закликає правителів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керувати народом не на основі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законів та покарань, а за допо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могою праведності, наприк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лад, високоморальної поведінки.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Найбільш важливими ціннос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тями 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конфуціансько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-буддистської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традиції є: лояльність, спокій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гармонія, обов’язок, ієрархія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підкорення особистості інтереса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м групи; право захищати вка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зані вище цінності, навіть шл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яхом насильства; розуміння дер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жави як великої сім’ї; шанобли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ве ставлення до близьких, сусі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дів та друзів; сімейний колективізм.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Варто зазначити, що г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оловним чином саме прихильність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цивілізаційним цінностям 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творила «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Азійсько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-тихоокеанське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економічне чудо» кінця ХХ та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початку ХХІ ст., оскільки стра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тегія розвитку країн ре</w:t>
      </w:r>
      <w:r w:rsidR="00BA427C">
        <w:rPr>
          <w:rFonts w:ascii="Times New Roman" w:hAnsi="Times New Roman" w:cs="Times New Roman"/>
          <w:sz w:val="24"/>
          <w:szCs w:val="24"/>
          <w14:ligatures w14:val="none"/>
        </w:rPr>
        <w:t>гіону опиралась на авторитарно-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патріархальну мораль, нетерп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имість до господарської безвід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повідальності, нетерпимість до зайво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ї розкоші, державний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протекціонізм національному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виробнику, жорсткі заходи щодо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запобігання витоку прибутків з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а кордон, дії всупереч рекомен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даціям МВФ та ін. західних структур.</w:t>
      </w:r>
    </w:p>
    <w:p w:rsidR="00C54C20" w:rsidRPr="00223597" w:rsidRDefault="00223597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З одного боку, необхідність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подолання глобальних викликів та загроз людству,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забезпе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чення його виживання у ХХІ ст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. в зближує цивілізації, а з ін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шого – культурна, ментальна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психологічна різниця між ними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в умовах демографічно перегрі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тої та екологічно хворої плане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ти диктує протилежні мотиви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: підкорювати інші країни й на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роди, тиснути на них з метою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реалізації власних цільових на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станов, що на мові офіційних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документів іменується «захистом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національних інтересів». Сві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дченням цього є ескалація боротьби за ресурси із-за того, що: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мінеральні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аграрні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енергетичні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воднi</w:t>
      </w:r>
      <w:proofErr w:type="spellEnd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комунiкацiйнi</w:t>
      </w:r>
      <w:proofErr w:type="spellEnd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територiальнi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та інші ресурси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розподілені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нерівномірно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; умови д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оступу до ресурсів суттєво різ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няться, а їх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розподiл</w:t>
      </w:r>
      <w:proofErr w:type="spellEnd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у більшості випадків не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відповідає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розподілу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населення; переважна частина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ресурсi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зосереджена на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малозаселених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територіях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, на</w:t>
      </w:r>
      <w:r w:rsidR="00BA427C">
        <w:rPr>
          <w:rFonts w:ascii="Times New Roman" w:hAnsi="Times New Roman" w:cs="Times New Roman"/>
          <w:sz w:val="24"/>
          <w:szCs w:val="24"/>
          <w14:ligatures w14:val="none"/>
        </w:rPr>
        <w:t>селення яких не потребує швид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кого їх використання, проте на це претендує населення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інших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густозаселених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територiй</w:t>
      </w:r>
      <w:proofErr w:type="spellEnd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Хоча боротьб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а за ресурси була одним з осно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вних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геополiтичних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чинникiв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протягом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усiєї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історії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людства –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зараз, очевидно, розпочався новий етап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цi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єї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боротьби,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пов’язаний з безпосеред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ньою загрозою виснаження земних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надр,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вiдсутнiстю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вiльних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територiй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на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сушi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, зростаючим не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гативним впливом фактору вичерпання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ресурсiв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на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рi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вновагу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природних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процесів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, що 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есе очевидну загрозу глобальних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катаклiзмiв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Наведені вище аргументи зумовлюють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необхідність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глоба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льного регулювання процесу споживання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ресурсів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. Проте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рiзнi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геополітичні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сили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зацікавлені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різних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правилах i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нормах тако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го регулювання. Це спричин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ює перетворення боротьби за ре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сурси в домінантну форму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міждержавного протистояння, яке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періодично набуває вигляду ві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йн (воєнних конфліктів) за при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родні джерела, що є визна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чальними для утримання держава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ми-лідерами своїх високих 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глобально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-статусних характерис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тик.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2. Маргіналізація країн, ерозія державності та неконтрольоване поширення зброї масового ураження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Структур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но-функціональну неспроможність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держав, які повністю або част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ково залежать від «золотого мі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льярду», метафорично називаю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ть їх маргіналізацією, а ситуа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цію прийняття рішень за межа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ми національних кордонів –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ерозією державності.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У системі глобально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ї безпеки складаються відносини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«центр – периферія», або пр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актика домінування політичних й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економічних центрів над ін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шими країнами (регіонами). Роль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останніх спрощується до постачання людсь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ких та сировинних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ресурсів на верхні поверхи гл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обальної піраміди, а також роз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міщенні шкідливих виробництв на своїй території.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Маргіналізація країн має </w:t>
      </w:r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додатковий прояв у вигляді про</w:t>
      </w: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тистояння суверенних держав з</w:t>
      </w:r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ТНК</w:t>
      </w:r>
      <w:proofErr w:type="spellEnd"/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які в умовах глобалізації </w:t>
      </w: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відіграють визначальну роль </w:t>
      </w:r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процесі об’єднання національ</w:t>
      </w: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них економік та утворення інт</w:t>
      </w:r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егрованої інтернаціональної виробничої системи.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Заради об’єктивності слід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визнати, що абсолютного світо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вого успіху західні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ТНК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пок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и що не здобули. Їхній вплив на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різні країни, попри наполеглив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ість та жорстку волю керівників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корпорацій, виявився диференційованим:</w:t>
      </w:r>
    </w:p>
    <w:p w:rsidR="00C54C20" w:rsidRPr="00BA427C" w:rsidRDefault="00C54C20" w:rsidP="00BA4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одних (Африка на південь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 від Сахари, ряд країн Латинсь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кої Америки, деякі країни СНД)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 глобалізація, ускладнена захі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дними «</w:t>
      </w:r>
      <w:proofErr w:type="spellStart"/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спецметодами</w:t>
      </w:r>
      <w:proofErr w:type="spellEnd"/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», буквально розчавила;</w:t>
      </w:r>
    </w:p>
    <w:p w:rsidR="00C54C20" w:rsidRPr="00BA427C" w:rsidRDefault="00C54C20" w:rsidP="00BA4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інші (</w:t>
      </w:r>
      <w:proofErr w:type="spellStart"/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арабо</w:t>
      </w:r>
      <w:proofErr w:type="spellEnd"/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-мусульман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ський світ) відповіли ударом на 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удар через поглинання західни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>х країн мігрантами, які, здійс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нюючи «тиху окупацію» Зах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>оду, уже претендують на особли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вий соціальний статус. У цій самій площині слід розглядати</w:t>
      </w:r>
      <w:r w:rsidR="00BA427C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тероризм, невіддільний від ісламу;</w:t>
      </w:r>
    </w:p>
    <w:p w:rsidR="00C54C20" w:rsidRPr="00BA427C" w:rsidRDefault="00C54C20" w:rsidP="00BA4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треті (Японія, Індія, Китай)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, уміло закриваючись на старті, 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довели свою ціннісну конку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рентну перевагу і стали реально 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претендувати на світове лідерство, відтісняючи Захід.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C20" w:rsidRPr="00BA427C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BA427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3. Міжнародний тероризм, глобалізація криміналу та неконтрольована міграція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>Міжнародний тероризм та глобалізація криміналу.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Під терором </w:t>
      </w:r>
      <w:r w:rsidRPr="00223597">
        <w:rPr>
          <w:rFonts w:ascii="Times New Roman" w:eastAsia="Cambria,Bold" w:hAnsi="Times New Roman" w:cs="Times New Roman"/>
          <w:i/>
          <w:iCs/>
          <w:sz w:val="24"/>
          <w:szCs w:val="24"/>
          <w14:ligatures w14:val="none"/>
        </w:rPr>
        <w:t xml:space="preserve">(від лат. </w:t>
      </w:r>
      <w:proofErr w:type="spellStart"/>
      <w:r w:rsidRPr="00223597">
        <w:rPr>
          <w:rFonts w:ascii="Times New Roman" w:eastAsia="Cambria,Bold" w:hAnsi="Times New Roman" w:cs="Times New Roman"/>
          <w:i/>
          <w:iCs/>
          <w:sz w:val="24"/>
          <w:szCs w:val="24"/>
          <w14:ligatures w14:val="none"/>
        </w:rPr>
        <w:t>terror</w:t>
      </w:r>
      <w:proofErr w:type="spellEnd"/>
      <w:r w:rsidRPr="00223597">
        <w:rPr>
          <w:rFonts w:ascii="Times New Roman" w:eastAsia="Cambria,Bold" w:hAnsi="Times New Roman" w:cs="Times New Roman"/>
          <w:i/>
          <w:iCs/>
          <w:sz w:val="24"/>
          <w:szCs w:val="24"/>
          <w14:ligatures w14:val="none"/>
        </w:rPr>
        <w:t xml:space="preserve"> – страх, жах)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мають на увазі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політику залякування супр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отивника та придушення його на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сильницькими методами аж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до фізичного знищення. Тероризм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– це метод політичної боротьб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и, який полягає у систематично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му застосуванні нічим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не обмеженого, не пов’язаного з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військовими діями фізичного насильства для досягнення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визначеної мети шляхом ус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унення політичних супротивників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(вбивства політичних лідері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в, військових або рядових грома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дян, вибухи, напади на банки, арсенали зброї, захоплення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повітряних лайнерів, заручн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иків тощо). Політичний тероризм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як найбільш поширений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різновид тероризму являє собою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соціально-політичне явище, засноване на використанні або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загрозі використання політичн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ого насильства у формі терори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стичного акту з м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етою створення атмосфери жаху в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суспільстві для дося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гнення суб’єктами терористичної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діяльності оприлюднених чи прихованих політичних цілей.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14:ligatures w14:val="none"/>
        </w:rPr>
      </w:pP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 сферами дії терориз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 може бути внутрішньодержавним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та транснаціональним (міжнародним). Внутрішньодержавний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тероризм пов’язаний з діял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ьністю як державних структур по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придушенню опозиції шляхо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м насильства і створення атмос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фери жаху в країні, так і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боротьбою опозиційних сил проти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існуючого режиму. Він характерний лише 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ля окремо взятої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країни та не виходить за її територіальні кордони.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 противагу цьому, міжнародний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оризм визначається розповсюджу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ється на громадян і територію більш ніж однієї країни.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Неконтрольована міграція.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Неконтрольована (нелегаль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на) міграція є проблемною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складовою розвитку міжнародної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сфери з моменту розпаду світ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ової колоніальної системи після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Другої світової війни. Сер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ед низки негативів, що постають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перед західними державами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в умовах посилення міграційного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чинника, головною є нагромадження к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онфліктного потенціалу,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який створюють потужні неко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нтрольовані міграційні потоки з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арабського Сходу, Північної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Африки, Центральної та Східної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Азії. Очевидним є те, що м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іграційні процеси розширюються,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охоплюючи нові регіони. Останнім часом цей процес охопив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також країни Центрально-Схі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дної Європи, які стали транзит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ними територіями для мігран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тів і біженців з африканських і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азійських держав, що прямують у Західну Європу.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4. Виклики інформаційній безпеці, глобальна криза демократії та культурної ідентичності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>Виклики інформаційній безпеці та інформаційна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влада.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Міжнародна інформаційна безпека – це стан та умови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захищеності міжнародного інформаційного середовища, які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забезпечують його формув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ання, використання та розвиток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інтересах суб’єктів міжнародних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відноси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н, включених в це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інформаційне середовище, за яких підтримується сталий мир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 основі захисту міжнародної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інфосфери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, глобальної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інфраструктури та суспільної свідомості світової спільноти від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інформаційних загроз, і, отже, не допускається (мінімізується)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завдання шкоди їхнім інтересам через незаконні дії з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інформаційними ресурсами та через негативний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інформаційний вплив та негативні наслідки функціонування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інформаційних технологій. До видів міжнародної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інформаційної безпеки належать глобальна інформаційна бе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з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пека, тобто безпека міжнародного співтовариства, а також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інформаційна безпека окремих держав, установ та громадян,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залучених у глобальне інформаційне середовище.</w:t>
      </w:r>
    </w:p>
    <w:p w:rsidR="00223597" w:rsidRPr="00223597" w:rsidRDefault="00223597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У широкому розумінні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інфократія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– це влада власників інформації, базована на зростанні їхньої ролі й значення в усіх сферах суспільного життя в умовах формування інформаційного суспільства. Розвиток останнього спричинив швидке й широке зростання прошарку власників інформаційних агентств і мереж, банків (баз) даних, що негайно перетворило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інфократичних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лідерів у нову верству панівної еліти.</w:t>
      </w:r>
    </w:p>
    <w:p w:rsidR="00223597" w:rsidRPr="00223597" w:rsidRDefault="00223597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Глобальна криза демократії та культурної ідентичності.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На тенденцію занепаду інститутів та цінностей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демократії звертає увагу ряд дослідників, зокрема на: зниження рівня довіри до інститутів влади і політичного лідерства;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фрагментарність партійного життя; посилення націоналізму;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розпад соціальних зв’язків; перетворення громадянського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суспільства у споживацький натовп.</w:t>
      </w:r>
    </w:p>
    <w:p w:rsidR="00223597" w:rsidRPr="00223597" w:rsidRDefault="00223597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Криза культурної ідентичності є близькою до кризи демократії, хоча і не співпадає з нею. Вважається, що в сучасному глобалізованому світі кризу ідентичності зумовлює невпевненість людини у своєму майбутньому, відчуття постійної небезпеки й тривоги, зростання розриву між поколіннями та інші екзистенціальні проблеми.</w:t>
      </w:r>
    </w:p>
    <w:sectPr w:rsidR="00223597" w:rsidRPr="002235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2EA"/>
    <w:multiLevelType w:val="hybridMultilevel"/>
    <w:tmpl w:val="A73AE5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87421F"/>
    <w:multiLevelType w:val="hybridMultilevel"/>
    <w:tmpl w:val="A5F2C8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93868"/>
    <w:multiLevelType w:val="hybridMultilevel"/>
    <w:tmpl w:val="A5F2C8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5D"/>
    <w:rsid w:val="00223597"/>
    <w:rsid w:val="00253208"/>
    <w:rsid w:val="003C3EE0"/>
    <w:rsid w:val="008A67DF"/>
    <w:rsid w:val="00966BC8"/>
    <w:rsid w:val="0097025D"/>
    <w:rsid w:val="009D6BA0"/>
    <w:rsid w:val="009F40A5"/>
    <w:rsid w:val="00BA427C"/>
    <w:rsid w:val="00C1149D"/>
    <w:rsid w:val="00C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92439-54AA-4FA8-AA9D-29F5FE7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DF"/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2024-03-17T15:46:00Z</dcterms:created>
  <dcterms:modified xsi:type="dcterms:W3CDTF">2024-04-22T08:10:00Z</dcterms:modified>
</cp:coreProperties>
</file>