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bookmarkStart w:id="0" w:name="_GoBack"/>
      <w:bookmarkEnd w:id="0"/>
      <w:r w:rsidRPr="0053620F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Навчальна дисципліна «Філософія»</w:t>
      </w:r>
    </w:p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53620F" w:rsidRPr="0053620F" w:rsidRDefault="00CC2BB3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Практичне заняття № </w:t>
      </w:r>
      <w:r w:rsidR="00A352B1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7</w:t>
      </w:r>
    </w:p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D0359D" w:rsidRPr="00A352B1" w:rsidRDefault="005B1312" w:rsidP="00A352B1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  <w:t>Тема 7</w:t>
      </w:r>
      <w:r w:rsidR="00D0359D" w:rsidRPr="00A352B1"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  <w:t xml:space="preserve">. </w:t>
      </w:r>
      <w:proofErr w:type="spellStart"/>
      <w:r w:rsidR="00A352B1" w:rsidRPr="00A352B1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Гносеологія</w:t>
      </w:r>
      <w:proofErr w:type="spellEnd"/>
      <w:r w:rsidR="00A352B1" w:rsidRPr="00A352B1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 xml:space="preserve">: проблема </w:t>
      </w:r>
      <w:proofErr w:type="spellStart"/>
      <w:proofErr w:type="gramStart"/>
      <w:r w:rsidR="00A352B1" w:rsidRPr="00A352B1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п</w:t>
      </w:r>
      <w:proofErr w:type="gramEnd"/>
      <w:r w:rsidR="00A352B1" w:rsidRPr="00A352B1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ізнання</w:t>
      </w:r>
      <w:proofErr w:type="spellEnd"/>
      <w:r w:rsidR="00A352B1" w:rsidRPr="00A352B1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 xml:space="preserve"> та </w:t>
      </w:r>
      <w:proofErr w:type="spellStart"/>
      <w:r w:rsidR="00A352B1" w:rsidRPr="00A352B1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істини</w:t>
      </w:r>
      <w:proofErr w:type="spellEnd"/>
    </w:p>
    <w:p w:rsidR="00A352B1" w:rsidRPr="00A352B1" w:rsidRDefault="00A352B1" w:rsidP="00A352B1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A352B1">
        <w:rPr>
          <w:rFonts w:ascii="Times New Roman" w:hAnsi="Times New Roman" w:cs="Times New Roman"/>
          <w:i w:val="0"/>
          <w:sz w:val="28"/>
          <w:szCs w:val="28"/>
          <w:lang w:val="uk-UA"/>
        </w:rPr>
        <w:t>1. Пізнання як предмет філософського аналізу.</w:t>
      </w:r>
    </w:p>
    <w:p w:rsidR="00A352B1" w:rsidRPr="00A352B1" w:rsidRDefault="00A352B1" w:rsidP="00A352B1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A352B1">
        <w:rPr>
          <w:rFonts w:ascii="Times New Roman" w:hAnsi="Times New Roman" w:cs="Times New Roman"/>
          <w:i w:val="0"/>
          <w:sz w:val="28"/>
          <w:szCs w:val="28"/>
          <w:lang w:val="uk-UA"/>
        </w:rPr>
        <w:t>2. Чуттєве та раціональне, логічне та інтуїтивне в пізнанні.</w:t>
      </w:r>
    </w:p>
    <w:p w:rsidR="00A352B1" w:rsidRPr="00A352B1" w:rsidRDefault="00A352B1" w:rsidP="00A352B1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A352B1">
        <w:rPr>
          <w:rFonts w:ascii="Times New Roman" w:hAnsi="Times New Roman" w:cs="Times New Roman"/>
          <w:i w:val="0"/>
          <w:sz w:val="28"/>
          <w:szCs w:val="28"/>
          <w:lang w:val="uk-UA"/>
        </w:rPr>
        <w:t>3. Проблема істини у пізнанні: поняття, ознаки, види та критерії істини. Основні теорії істини.</w:t>
      </w:r>
    </w:p>
    <w:p w:rsidR="00A352B1" w:rsidRPr="00A352B1" w:rsidRDefault="00A352B1" w:rsidP="00A352B1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A352B1">
        <w:rPr>
          <w:rFonts w:ascii="Times New Roman" w:hAnsi="Times New Roman" w:cs="Times New Roman"/>
          <w:i w:val="0"/>
          <w:sz w:val="28"/>
          <w:szCs w:val="28"/>
          <w:lang w:val="uk-UA"/>
        </w:rPr>
        <w:t>4. Наукове пізнання: риси науки, форми та методи наукового пізнання</w:t>
      </w:r>
    </w:p>
    <w:p w:rsidR="00A352B1" w:rsidRPr="00A352B1" w:rsidRDefault="00A352B1" w:rsidP="00A352B1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A352B1">
        <w:rPr>
          <w:rFonts w:ascii="Times New Roman" w:hAnsi="Times New Roman" w:cs="Times New Roman"/>
          <w:i w:val="0"/>
          <w:sz w:val="28"/>
          <w:szCs w:val="28"/>
          <w:lang w:val="uk-UA"/>
        </w:rPr>
        <w:t>5. Методи наукового пізнання.</w:t>
      </w:r>
    </w:p>
    <w:p w:rsidR="00A352B1" w:rsidRPr="00A352B1" w:rsidRDefault="00A352B1" w:rsidP="00A352B1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A352B1">
        <w:rPr>
          <w:rFonts w:ascii="Times New Roman" w:hAnsi="Times New Roman" w:cs="Times New Roman"/>
          <w:i w:val="0"/>
          <w:sz w:val="28"/>
          <w:szCs w:val="28"/>
          <w:lang w:val="uk-UA"/>
        </w:rPr>
        <w:t>6. Поняття та основні принципи діалектики.</w:t>
      </w:r>
    </w:p>
    <w:p w:rsidR="00A352B1" w:rsidRPr="00A352B1" w:rsidRDefault="00A352B1" w:rsidP="00A352B1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A352B1">
        <w:rPr>
          <w:rFonts w:ascii="Times New Roman" w:hAnsi="Times New Roman" w:cs="Times New Roman"/>
          <w:i w:val="0"/>
          <w:sz w:val="28"/>
          <w:szCs w:val="28"/>
          <w:lang w:val="uk-UA"/>
        </w:rPr>
        <w:t>7. Основні закони діалектики.</w:t>
      </w:r>
    </w:p>
    <w:p w:rsidR="00A352B1" w:rsidRPr="00A352B1" w:rsidRDefault="00A352B1" w:rsidP="00A352B1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A352B1">
        <w:rPr>
          <w:rFonts w:ascii="Times New Roman" w:hAnsi="Times New Roman" w:cs="Times New Roman"/>
          <w:i w:val="0"/>
          <w:sz w:val="28"/>
          <w:szCs w:val="28"/>
          <w:lang w:val="uk-UA"/>
        </w:rPr>
        <w:t>8. Характеристика основних категорій діалектики.</w:t>
      </w:r>
    </w:p>
    <w:p w:rsidR="00D0359D" w:rsidRDefault="00D0359D" w:rsidP="00D0359D">
      <w:pPr>
        <w:spacing w:after="0"/>
        <w:ind w:left="568"/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</w:pPr>
    </w:p>
    <w:p w:rsidR="00D0359D" w:rsidRPr="00FD0607" w:rsidRDefault="00D0359D" w:rsidP="00D0359D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FD0607"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  <w:t>Питання для доповідей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proofErr w:type="gram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ізнавальний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процес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як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взаємодія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логічно-дискурсивного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інтуїтивно-художнього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пізнання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Знання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віра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як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способи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осягнення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св</w:t>
      </w:r>
      <w:proofErr w:type="gram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іту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Основні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гносеологічні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концепції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філософії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proofErr w:type="gram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ізнання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як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відображення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творчість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Діалектика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чуттєвого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раціонального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в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процесі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ізнання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Форми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логічно-дискурсивного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ізнання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: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поняття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судження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умовиводи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Основні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закони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правильного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мислення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Проблема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істини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в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філософії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науці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: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історичний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сучасний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контекст.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Філософські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концепції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істини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Істина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як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процес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Проблема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об’єктивності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істини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її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критеріїв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у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науково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ціннісно-орієнтованому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ізнанні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Істина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метод </w:t>
      </w:r>
      <w:proofErr w:type="spellStart"/>
      <w:proofErr w:type="gram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ізнання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Істина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буття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Наукове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ізнання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як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філософська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проблема.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Основні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поняття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структура науки.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Наукове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ізнання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наукове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дослідження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: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категорії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форми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методи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Логіка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методологія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наукового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ізнання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Евристика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наукового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пошуку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Наука як </w:t>
      </w:r>
      <w:proofErr w:type="spellStart"/>
      <w:proofErr w:type="gram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соц</w:t>
      </w:r>
      <w:proofErr w:type="gram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іальний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інститут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суспільства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Особливості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сучасної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науки.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Сучасна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наукова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картина </w:t>
      </w:r>
      <w:proofErr w:type="spellStart"/>
      <w:proofErr w:type="gram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св</w:t>
      </w:r>
      <w:proofErr w:type="gram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іту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Особливості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методологічного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мислення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сучасної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науки.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Зміна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типів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раціональності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Стиль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мислення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філософія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Раціональність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виміри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людського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буття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Наука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мораль в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сучасній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культурі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Проблема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розвитку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в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філософії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Діалектика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її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альтернативи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A352B1"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Поняття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розвитку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Моделі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розвитку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Розвиток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саморозвиток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Метафізика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діалектика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Типи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діалектики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Категорії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та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закони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діалектики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Суперечність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процесуальність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буття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св</w:t>
      </w:r>
      <w:proofErr w:type="gram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іту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людини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Причинні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та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телеологічні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зв'язки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A352B1" w:rsidRPr="00A352B1" w:rsidRDefault="00A352B1" w:rsidP="00A352B1">
      <w:pPr>
        <w:pStyle w:val="ab"/>
        <w:numPr>
          <w:ilvl w:val="0"/>
          <w:numId w:val="14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Циклічність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поступовість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 в </w:t>
      </w:r>
      <w:proofErr w:type="spellStart"/>
      <w:r w:rsidRPr="00A352B1">
        <w:rPr>
          <w:rFonts w:ascii="Times New Roman" w:hAnsi="Times New Roman"/>
          <w:i w:val="0"/>
          <w:sz w:val="28"/>
          <w:szCs w:val="28"/>
          <w:lang w:val="ru-RU"/>
        </w:rPr>
        <w:t>розвитку</w:t>
      </w:r>
      <w:proofErr w:type="spellEnd"/>
      <w:r w:rsidRPr="00A352B1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Прогрес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A352B1">
        <w:rPr>
          <w:rFonts w:ascii="Times New Roman" w:hAnsi="Times New Roman"/>
          <w:i w:val="0"/>
          <w:sz w:val="28"/>
          <w:szCs w:val="28"/>
        </w:rPr>
        <w:t>регрес</w:t>
      </w:r>
      <w:proofErr w:type="spellEnd"/>
      <w:r w:rsidRPr="00A352B1">
        <w:rPr>
          <w:rFonts w:ascii="Times New Roman" w:hAnsi="Times New Roman"/>
          <w:i w:val="0"/>
          <w:sz w:val="28"/>
          <w:szCs w:val="28"/>
        </w:rPr>
        <w:t>.</w:t>
      </w:r>
    </w:p>
    <w:p w:rsidR="00D0359D" w:rsidRPr="00D0359D" w:rsidRDefault="00D0359D" w:rsidP="00D0359D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D0359D" w:rsidRPr="00D0359D" w:rsidRDefault="00D0359D" w:rsidP="00D0359D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 w:rsidRPr="00D0359D">
        <w:rPr>
          <w:rFonts w:ascii="Times New Roman" w:hAnsi="Times New Roman" w:cs="Times New Roman"/>
          <w:b/>
          <w:i w:val="0"/>
          <w:color w:val="000000"/>
          <w:sz w:val="28"/>
          <w:szCs w:val="28"/>
          <w:lang w:eastAsia="uk-UA"/>
        </w:rPr>
        <w:t>Рекомендована</w:t>
      </w:r>
      <w:proofErr w:type="spellEnd"/>
      <w:r w:rsidRPr="00D0359D">
        <w:rPr>
          <w:rFonts w:ascii="Times New Roman" w:hAnsi="Times New Roman" w:cs="Times New Roman"/>
          <w:b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0359D">
        <w:rPr>
          <w:rFonts w:ascii="Times New Roman" w:hAnsi="Times New Roman" w:cs="Times New Roman"/>
          <w:b/>
          <w:i w:val="0"/>
          <w:color w:val="000000"/>
          <w:sz w:val="28"/>
          <w:szCs w:val="28"/>
          <w:lang w:eastAsia="uk-UA"/>
        </w:rPr>
        <w:t>література</w:t>
      </w:r>
      <w:proofErr w:type="spellEnd"/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>Данильян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 xml:space="preserve"> О. Г., 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>Дзьобань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 xml:space="preserve"> О.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 xml:space="preserve">П. Філософія : підручник 2-ге вид.,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>переробл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 xml:space="preserve">. і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>допов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Харків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Право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, 2019. 432 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Литвинчук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О. В.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навчальний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 2021. 403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с. </w:t>
      </w:r>
      <w:hyperlink r:id="rId5" w:history="1">
        <w:r w:rsidRPr="00D0359D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</w:rPr>
          <w:t>http</w:t>
        </w:r>
        <w:r w:rsidRPr="00D0359D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  <w:lang w:val="ru-RU"/>
          </w:rPr>
          <w:t>://</w:t>
        </w:r>
        <w:r w:rsidRPr="00D0359D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</w:rPr>
          <w:t>library</w:t>
        </w:r>
        <w:r w:rsidRPr="00D0359D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  <w:lang w:val="ru-RU"/>
          </w:rPr>
          <w:t>.</w:t>
        </w:r>
        <w:proofErr w:type="spellStart"/>
        <w:r w:rsidRPr="00D0359D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</w:rPr>
          <w:t>ztu</w:t>
        </w:r>
        <w:proofErr w:type="spellEnd"/>
        <w:r w:rsidRPr="00D0359D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  <w:lang w:val="ru-RU"/>
          </w:rPr>
          <w:t>.</w:t>
        </w:r>
        <w:proofErr w:type="spellStart"/>
        <w:r w:rsidRPr="00D0359D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</w:rPr>
          <w:t>edu</w:t>
        </w:r>
        <w:proofErr w:type="spellEnd"/>
        <w:r w:rsidRPr="00D0359D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  <w:lang w:val="ru-RU"/>
          </w:rPr>
          <w:t>.</w:t>
        </w:r>
        <w:proofErr w:type="spellStart"/>
        <w:r w:rsidRPr="00D0359D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</w:rPr>
          <w:t>ua</w:t>
        </w:r>
        <w:proofErr w:type="spellEnd"/>
        <w:r w:rsidRPr="00D0359D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  <w:lang w:val="ru-RU"/>
          </w:rPr>
          <w:t>/</w:t>
        </w:r>
        <w:proofErr w:type="spellStart"/>
        <w:r w:rsidRPr="00D0359D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</w:rPr>
          <w:t>ftextslocal</w:t>
        </w:r>
        <w:proofErr w:type="spellEnd"/>
        <w:r w:rsidRPr="00D0359D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  <w:lang w:val="ru-RU"/>
          </w:rPr>
          <w:t>/</w:t>
        </w:r>
        <w:proofErr w:type="spellStart"/>
        <w:r w:rsidRPr="00D0359D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</w:rPr>
          <w:t>Litvinchuk</w:t>
        </w:r>
        <w:proofErr w:type="spellEnd"/>
        <w:r w:rsidRPr="00D0359D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  <w:lang w:val="ru-RU"/>
          </w:rPr>
          <w:t>.</w:t>
        </w:r>
        <w:proofErr w:type="spellStart"/>
        <w:r w:rsidRPr="00D0359D">
          <w:rPr>
            <w:rStyle w:val="af4"/>
            <w:rFonts w:ascii="Times New Roman" w:hAnsi="Times New Roman" w:cs="Times New Roman"/>
            <w:i w:val="0"/>
            <w:spacing w:val="-6"/>
            <w:sz w:val="28"/>
            <w:szCs w:val="28"/>
          </w:rPr>
          <w:t>pdf</w:t>
        </w:r>
        <w:proofErr w:type="spellEnd"/>
      </w:hyperlink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Петрушенко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В. Л.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– 5-е вид., стереотип.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Львів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Новий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Світ-2000, 2011. 504 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Світайло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Л.Д.,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Мельничук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М.С.,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Слюсар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В.М.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навчально-методичний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посібник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Рівне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Вид-во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НУВГП, 2012.  270 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підручник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для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студентів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вищ.навч.закл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/ Л.В.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Губерський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В.П.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Андрущенко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А.О.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Баумайстер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І.С.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Добронравова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В.В.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Ільїн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;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за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ред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Л. В.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Губернський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вид. 2-ге,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перероб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допов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Харків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Фоліо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2018. 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620 </w:t>
      </w:r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с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Щерба С. П.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[5-е вид.].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Кондор, 2011. 548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Вандишев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В. М.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Екскурс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в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історію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вчень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понять 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Кондор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, 2006. 474 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Губар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О. М.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Інтерактивний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курс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лекцій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: ЦУЛ, 2007. 416 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Губерський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Л.В.,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Надольний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І.Ф.,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Андрущенко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В.П.,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Розумний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В.П.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навч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посібник</w:t>
      </w:r>
      <w:proofErr w:type="spellEnd"/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7-е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ви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д.,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стереотип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: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Вікар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, 2008. 534с.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Кремень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В. Г.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Логос,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Розум :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Книга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, 2007. 432 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Причепій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Є. М.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2-тє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вид.,випр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доп.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Академвидав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, 2008. 592 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Саух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 П. Ю.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: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Навч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посібник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: ЦНЛ, 2003. 256с.</w:t>
      </w:r>
    </w:p>
    <w:p w:rsidR="0053620F" w:rsidRPr="00D0359D" w:rsidRDefault="0053620F" w:rsidP="00D0359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i w:val="0"/>
          <w:lang w:val="ru-RU"/>
        </w:rPr>
      </w:pPr>
    </w:p>
    <w:sectPr w:rsidR="0053620F" w:rsidRPr="00D0359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F98"/>
    <w:multiLevelType w:val="hybridMultilevel"/>
    <w:tmpl w:val="8DE63AE4"/>
    <w:lvl w:ilvl="0" w:tplc="97DEA2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1268F6"/>
    <w:multiLevelType w:val="hybridMultilevel"/>
    <w:tmpl w:val="C3CC2614"/>
    <w:lvl w:ilvl="0" w:tplc="0D909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93691A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371DA"/>
    <w:multiLevelType w:val="hybridMultilevel"/>
    <w:tmpl w:val="309E8A40"/>
    <w:lvl w:ilvl="0" w:tplc="8D905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1C2C51"/>
    <w:multiLevelType w:val="hybridMultilevel"/>
    <w:tmpl w:val="CE288782"/>
    <w:lvl w:ilvl="0" w:tplc="0422000F">
      <w:start w:val="1"/>
      <w:numFmt w:val="decimal"/>
      <w:lvlText w:val="%1."/>
      <w:lvlJc w:val="left"/>
      <w:pPr>
        <w:ind w:left="1647" w:hanging="360"/>
      </w:p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398A1819"/>
    <w:multiLevelType w:val="hybridMultilevel"/>
    <w:tmpl w:val="7840B35A"/>
    <w:lvl w:ilvl="0" w:tplc="68FE7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4F5213"/>
    <w:multiLevelType w:val="hybridMultilevel"/>
    <w:tmpl w:val="83A039AC"/>
    <w:lvl w:ilvl="0" w:tplc="4AD2BB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D08778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0324EBC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8B16E9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65C03EC"/>
    <w:multiLevelType w:val="hybridMultilevel"/>
    <w:tmpl w:val="5180347C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5"/>
  </w:num>
  <w:num w:numId="9">
    <w:abstractNumId w:val="13"/>
  </w:num>
  <w:num w:numId="10">
    <w:abstractNumId w:val="0"/>
  </w:num>
  <w:num w:numId="11">
    <w:abstractNumId w:val="8"/>
  </w:num>
  <w:num w:numId="12">
    <w:abstractNumId w:val="2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620F"/>
    <w:rsid w:val="00243F77"/>
    <w:rsid w:val="002932CC"/>
    <w:rsid w:val="004B6C02"/>
    <w:rsid w:val="0053620F"/>
    <w:rsid w:val="005B1312"/>
    <w:rsid w:val="006B32A7"/>
    <w:rsid w:val="006C0B77"/>
    <w:rsid w:val="007945BF"/>
    <w:rsid w:val="008242FF"/>
    <w:rsid w:val="00870751"/>
    <w:rsid w:val="008741C1"/>
    <w:rsid w:val="009218A9"/>
    <w:rsid w:val="00922C48"/>
    <w:rsid w:val="00953F5E"/>
    <w:rsid w:val="00954899"/>
    <w:rsid w:val="009C6B24"/>
    <w:rsid w:val="009F6E4D"/>
    <w:rsid w:val="00A32CAC"/>
    <w:rsid w:val="00A352B1"/>
    <w:rsid w:val="00AC0E34"/>
    <w:rsid w:val="00B10989"/>
    <w:rsid w:val="00B915B7"/>
    <w:rsid w:val="00B93953"/>
    <w:rsid w:val="00BC636F"/>
    <w:rsid w:val="00C17E90"/>
    <w:rsid w:val="00C76066"/>
    <w:rsid w:val="00CA0770"/>
    <w:rsid w:val="00CC2BB3"/>
    <w:rsid w:val="00D0359D"/>
    <w:rsid w:val="00EA59DF"/>
    <w:rsid w:val="00EE4070"/>
    <w:rsid w:val="00F0445C"/>
    <w:rsid w:val="00F12C76"/>
    <w:rsid w:val="00FD0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9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53620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243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2024-04-03T21:07:00Z</dcterms:created>
  <dcterms:modified xsi:type="dcterms:W3CDTF">2024-04-03T21:07:00Z</dcterms:modified>
</cp:coreProperties>
</file>