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rtl w:val="0"/>
        </w:rPr>
        <w:t>SEMINAR 6</w:t>
      </w:r>
    </w:p>
    <w:p>
      <w:pPr>
        <w:jc w:val="center"/>
        <w:rPr>
          <w:rFonts w:hint="default" w:ascii="Times New Roman" w:hAnsi="Times New Roman" w:eastAsia="Times New Roman" w:cs="Times New Roman"/>
          <w:b/>
          <w:sz w:val="26"/>
          <w:szCs w:val="26"/>
          <w:lang w:val="pl-PL"/>
        </w:rPr>
      </w:pPr>
      <w:r>
        <w:rPr>
          <w:rFonts w:hint="default" w:ascii="Times New Roman" w:hAnsi="Times New Roman" w:eastAsia="Times New Roman" w:cs="Times New Roman"/>
          <w:b/>
          <w:sz w:val="26"/>
          <w:szCs w:val="26"/>
          <w:lang w:val="pl-PL"/>
        </w:rPr>
        <w:t>Typology of the Noun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rtl w:val="0"/>
        </w:rPr>
        <w:t>Choose the topic for your presentation, write your name</w:t>
      </w:r>
      <w:r>
        <w:rPr>
          <w:rFonts w:hint="default" w:ascii="Times New Roman" w:hAnsi="Times New Roman" w:eastAsia="Times New Roman" w:cs="Times New Roman"/>
          <w:b/>
          <w:sz w:val="26"/>
          <w:szCs w:val="26"/>
          <w:rtl w:val="0"/>
          <w:lang w:val="pl-PL"/>
        </w:rPr>
        <w:t>.</w:t>
      </w:r>
    </w:p>
    <w:p>
      <w:pPr>
        <w:jc w:val="left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rtl w:val="0"/>
        </w:rPr>
        <w:t>2. Do the practical task below.</w:t>
      </w:r>
    </w:p>
    <w:p>
      <w:pPr>
        <w:jc w:val="left"/>
        <w:rPr>
          <w:rFonts w:hint="default" w:ascii="Times New Roman" w:hAnsi="Times New Roman" w:eastAsia="Times New Roman" w:cs="Times New Roman"/>
          <w:b/>
          <w:sz w:val="26"/>
          <w:szCs w:val="26"/>
          <w:lang w:val="pl-PL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rtl w:val="0"/>
        </w:rPr>
        <w:t>3. Upload on the date of seminar into the group folder</w:t>
      </w:r>
      <w:r>
        <w:rPr>
          <w:rFonts w:hint="default" w:ascii="Times New Roman" w:hAnsi="Times New Roman" w:eastAsia="Times New Roman" w:cs="Times New Roman"/>
          <w:b/>
          <w:sz w:val="26"/>
          <w:szCs w:val="26"/>
          <w:rtl w:val="0"/>
          <w:lang w:val="pl-PL"/>
        </w:rPr>
        <w:t>.</w:t>
      </w:r>
    </w:p>
    <w:p>
      <w:pPr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</w:p>
    <w:tbl>
      <w:tblPr>
        <w:tblStyle w:val="14"/>
        <w:tblW w:w="9630" w:type="dxa"/>
        <w:tblInd w:w="-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1350"/>
        <w:gridCol w:w="5070"/>
        <w:gridCol w:w="32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Seminar questions</w:t>
            </w: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z w:val="26"/>
                <w:szCs w:val="26"/>
                <w:rtl w:val="0"/>
              </w:rPr>
              <w:t>(Mention some ideas/examples  of translation challenges in the following topics)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Students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1.</w:t>
            </w:r>
          </w:p>
        </w:tc>
        <w:tc>
          <w:tcPr>
            <w:tcW w:w="507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bidi w:val="0"/>
              <w:spacing w:before="240" w:beforeAutospacing="0" w:after="0" w:afterAutospacing="0" w:line="15" w:lineRule="atLeast"/>
              <w:ind w:left="0" w:leftChars="0" w:right="0" w:rightChars="0"/>
              <w:jc w:val="both"/>
              <w:rPr>
                <w:rFonts w:ascii="Arial" w:hAnsi="Arial" w:eastAsia="Arial" w:cs="Arial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6"/>
                <w:szCs w:val="26"/>
                <w:u w:val="none"/>
                <w:vertAlign w:val="baseline"/>
              </w:rPr>
              <w:t>The main classes of common and proper nouns in English and  Ukrainian.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2.</w:t>
            </w:r>
          </w:p>
        </w:tc>
        <w:tc>
          <w:tcPr>
            <w:tcW w:w="507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bidi w:val="0"/>
              <w:spacing w:before="240" w:beforeAutospacing="0" w:after="0" w:afterAutospacing="0" w:line="15" w:lineRule="atLeast"/>
              <w:ind w:left="0" w:leftChars="0" w:right="0" w:rightChars="0"/>
              <w:jc w:val="both"/>
              <w:rPr>
                <w:rFonts w:ascii="Arial" w:hAnsi="Arial" w:eastAsia="Arial" w:cs="Arial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6"/>
                <w:szCs w:val="26"/>
                <w:u w:val="none"/>
                <w:vertAlign w:val="baseline"/>
              </w:rPr>
              <w:t>The category of case in English and Ukrainian.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3.</w:t>
            </w:r>
          </w:p>
        </w:tc>
        <w:tc>
          <w:tcPr>
            <w:tcW w:w="507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bidi w:val="0"/>
              <w:spacing w:before="240" w:beforeAutospacing="0" w:after="0" w:afterAutospacing="0" w:line="15" w:lineRule="atLeast"/>
              <w:ind w:left="0" w:leftChars="0" w:right="0" w:rightChars="0"/>
              <w:jc w:val="both"/>
              <w:rPr>
                <w:rFonts w:ascii="Arial" w:hAnsi="Arial" w:eastAsia="Arial" w:cs="Arial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6"/>
                <w:szCs w:val="26"/>
                <w:u w:val="none"/>
                <w:vertAlign w:val="baseline"/>
              </w:rPr>
              <w:t>The category of gender in English and Ukrainian.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4.</w:t>
            </w:r>
          </w:p>
        </w:tc>
        <w:tc>
          <w:tcPr>
            <w:tcW w:w="507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5" w:lineRule="atLeast"/>
              <w:ind w:left="0" w:leftChars="0" w:right="0" w:rightChars="0"/>
              <w:jc w:val="both"/>
              <w:rPr>
                <w:rFonts w:ascii="Arial" w:hAnsi="Arial" w:eastAsia="Arial" w:cs="Arial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6"/>
                <w:szCs w:val="26"/>
                <w:u w:val="none"/>
                <w:vertAlign w:val="baseline"/>
              </w:rPr>
              <w:t>Singularia Tantum in English and Ukrainian.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5.</w:t>
            </w:r>
          </w:p>
        </w:tc>
        <w:tc>
          <w:tcPr>
            <w:tcW w:w="507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5" w:lineRule="atLeast"/>
              <w:ind w:left="0" w:leftChars="0" w:right="0" w:rightChars="0"/>
              <w:jc w:val="both"/>
              <w:rPr>
                <w:rFonts w:ascii="Arial" w:hAnsi="Arial" w:eastAsia="Arial" w:cs="Arial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6"/>
                <w:szCs w:val="26"/>
                <w:u w:val="none"/>
                <w:vertAlign w:val="baseline"/>
              </w:rPr>
              <w:t>Pluralia Tantum in English and Ukrainian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 xml:space="preserve">6. </w:t>
            </w:r>
          </w:p>
        </w:tc>
        <w:tc>
          <w:tcPr>
            <w:tcW w:w="507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bidi w:val="0"/>
              <w:spacing w:before="240" w:beforeAutospacing="0" w:after="0" w:afterAutospacing="0" w:line="15" w:lineRule="atLeast"/>
              <w:ind w:left="0" w:leftChars="0" w:right="0" w:rightChars="0"/>
              <w:jc w:val="both"/>
              <w:rPr>
                <w:rFonts w:ascii="Arial" w:hAnsi="Arial" w:eastAsia="Arial" w:cs="Arial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6"/>
                <w:szCs w:val="26"/>
                <w:u w:val="none"/>
                <w:vertAlign w:val="baseline"/>
              </w:rPr>
              <w:t>The category of definiteness and indefiniteness and its translation.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7.</w:t>
            </w:r>
          </w:p>
        </w:tc>
        <w:tc>
          <w:tcPr>
            <w:tcW w:w="507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5" w:lineRule="atLeast"/>
              <w:ind w:left="0" w:leftChars="0" w:right="0" w:rightChars="0"/>
              <w:jc w:val="both"/>
              <w:rPr>
                <w:rFonts w:ascii="Arial" w:hAnsi="Arial" w:eastAsia="Arial" w:cs="Arial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6"/>
                <w:szCs w:val="26"/>
                <w:u w:val="none"/>
                <w:vertAlign w:val="baseline"/>
              </w:rPr>
              <w:t>Suppletivity in the grammatical categories of noun.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40" w:line="276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pStyle w:val="11"/>
        <w:keepNext w:val="0"/>
        <w:keepLines w:val="0"/>
        <w:widowControl/>
        <w:suppressLineNumbers w:val="0"/>
        <w:bidi w:val="0"/>
        <w:spacing w:before="240" w:beforeAutospacing="0" w:after="0" w:afterAutospacing="0" w:line="15" w:lineRule="atLeast"/>
        <w:jc w:val="both"/>
        <w:rPr>
          <w:color w:val="auto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6"/>
          <w:szCs w:val="26"/>
          <w:u w:val="none"/>
          <w:vertAlign w:val="baseline"/>
        </w:rPr>
        <w:t>Practical task </w:t>
      </w:r>
    </w:p>
    <w:p>
      <w:pPr>
        <w:pStyle w:val="11"/>
        <w:keepNext w:val="0"/>
        <w:keepLines w:val="0"/>
        <w:widowControl/>
        <w:suppressLineNumbers w:val="0"/>
        <w:bidi w:val="0"/>
        <w:spacing w:before="240" w:beforeAutospacing="0" w:after="0" w:afterAutospacing="0" w:line="15" w:lineRule="atLeast"/>
        <w:jc w:val="both"/>
        <w:rPr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6"/>
          <w:szCs w:val="26"/>
          <w:u w:val="none"/>
          <w:vertAlign w:val="baseline"/>
        </w:rPr>
        <w:t>   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6"/>
          <w:szCs w:val="26"/>
          <w:u w:val="none"/>
          <w:vertAlign w:val="baseline"/>
        </w:rPr>
        <w:t>1. Make up the Plural forms of the nouns, grouping them into the following classes: </w:t>
      </w:r>
    </w:p>
    <w:p>
      <w:pPr>
        <w:pStyle w:val="11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6"/>
          <w:szCs w:val="26"/>
          <w:u w:val="none"/>
          <w:vertAlign w:val="baseline"/>
        </w:rPr>
        <w:t>а) regular productive Plural forms; </w:t>
      </w:r>
    </w:p>
    <w:p>
      <w:pPr>
        <w:pStyle w:val="11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r>
        <w:rPr>
          <w:rFonts w:hint="default" w:ascii="Times New Roman" w:hAnsi="Times New Roman" w:cs="Times New Roman"/>
          <w:i w:val="0"/>
          <w:iCs w:val="0"/>
          <w:color w:val="auto"/>
          <w:sz w:val="26"/>
          <w:szCs w:val="26"/>
          <w:u w:val="none"/>
          <w:vertAlign w:val="baseline"/>
        </w:rPr>
        <w:t>b) suppleti</w:t>
      </w:r>
      <w:r>
        <w:rPr>
          <w:rFonts w:hint="default" w:ascii="Times New Roman" w:hAnsi="Times New Roman" w:cs="Times New Roman"/>
          <w:i w:val="0"/>
          <w:iCs w:val="0"/>
          <w:color w:val="000000"/>
          <w:sz w:val="26"/>
          <w:szCs w:val="26"/>
          <w:u w:val="none"/>
          <w:vertAlign w:val="baseline"/>
        </w:rPr>
        <w:t>ve forms; </w:t>
      </w:r>
    </w:p>
    <w:p>
      <w:pPr>
        <w:pStyle w:val="11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6"/>
          <w:szCs w:val="26"/>
          <w:u w:val="none"/>
          <w:vertAlign w:val="baseline"/>
        </w:rPr>
        <w:t>c) forms with archaic suffixes; </w:t>
      </w:r>
    </w:p>
    <w:p>
      <w:pPr>
        <w:pStyle w:val="11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6"/>
          <w:szCs w:val="26"/>
          <w:u w:val="none"/>
          <w:vertAlign w:val="baseline"/>
        </w:rPr>
        <w:t>d) forms with the borrowed suffixes; </w:t>
      </w:r>
    </w:p>
    <w:p>
      <w:pPr>
        <w:pStyle w:val="11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6"/>
          <w:szCs w:val="26"/>
          <w:u w:val="none"/>
          <w:vertAlign w:val="baseline"/>
        </w:rPr>
        <w:t>e) Plural forms, which are homonymous with the Singular forms:</w:t>
      </w:r>
    </w:p>
    <w:p>
      <w:pPr>
        <w:pStyle w:val="11"/>
        <w:keepNext w:val="0"/>
        <w:keepLines w:val="0"/>
        <w:widowControl/>
        <w:suppressLineNumbers w:val="0"/>
        <w:bidi w:val="0"/>
        <w:spacing w:before="240" w:beforeAutospacing="0" w:after="0" w:afterAutospacing="0" w:line="15" w:lineRule="atLeast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6"/>
          <w:szCs w:val="26"/>
          <w:u w:val="none"/>
          <w:vertAlign w:val="baseline"/>
        </w:rPr>
        <w:t>Foot, crisis, child, horse, stimulus, deer, louse, focus, formula, man, pupil, ox, brother, cloth, terminus, trout, cow, swine, goose, datum, sheep, cactus, cello, antenna, leaf, hoof.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bookmarkStart w:id="0" w:name="_GoBack"/>
      <w:bookmarkEnd w:id="0"/>
    </w:p>
    <w:p>
      <w:pPr>
        <w:pStyle w:val="11"/>
        <w:keepNext w:val="0"/>
        <w:keepLines w:val="0"/>
        <w:widowControl/>
        <w:suppressLineNumbers w:val="0"/>
        <w:bidi w:val="0"/>
        <w:spacing w:before="240" w:beforeAutospacing="0" w:after="0" w:afterAutospacing="0" w:line="15" w:lineRule="atLeast"/>
        <w:jc w:val="center"/>
      </w:pP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26"/>
          <w:szCs w:val="26"/>
          <w:u w:val="none"/>
          <w:vertAlign w:val="baseline"/>
        </w:rPr>
        <w:t>Recommended literature</w:t>
      </w:r>
    </w:p>
    <w:p>
      <w:pPr>
        <w:pStyle w:val="11"/>
        <w:keepNext w:val="0"/>
        <w:keepLines w:val="0"/>
        <w:widowControl/>
        <w:suppressLineNumbers w:val="0"/>
        <w:bidi w:val="0"/>
        <w:spacing w:before="240" w:beforeAutospacing="0" w:after="0" w:afterAutospacing="0" w:line="15" w:lineRule="atLeast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6"/>
          <w:szCs w:val="26"/>
          <w:u w:val="none"/>
          <w:vertAlign w:val="baseline"/>
        </w:rPr>
        <w:t>1. Korunets I.V. Contrastive Typology of the English and Ukrainian Languages. Вінниця: «Нова книга», 2004. P. 179–192.</w:t>
      </w:r>
    </w:p>
    <w:p>
      <w:pPr>
        <w:pStyle w:val="11"/>
        <w:keepNext w:val="0"/>
        <w:keepLines w:val="0"/>
        <w:widowControl/>
        <w:suppressLineNumbers w:val="0"/>
        <w:bidi w:val="0"/>
        <w:spacing w:before="240" w:beforeAutospacing="0" w:after="0" w:afterAutospacing="0" w:line="15" w:lineRule="atLeast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6"/>
          <w:szCs w:val="26"/>
          <w:u w:val="none"/>
          <w:vertAlign w:val="baseline"/>
        </w:rPr>
        <w:t>2. Karamysheva I. Contrastive Grammar of English and Ukrainian Languages. Vinnytsia: Nova Knyha Publishers, 2017. 336 p.</w:t>
      </w:r>
    </w:p>
    <w:p>
      <w:pPr>
        <w:pStyle w:val="11"/>
        <w:keepNext w:val="0"/>
        <w:keepLines w:val="0"/>
        <w:widowControl/>
        <w:suppressLineNumbers w:val="0"/>
        <w:bidi w:val="0"/>
        <w:spacing w:before="240" w:beforeAutospacing="0" w:after="240" w:afterAutospacing="0" w:line="15" w:lineRule="atLeast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6"/>
          <w:szCs w:val="26"/>
          <w:u w:val="none"/>
          <w:vertAlign w:val="baseline"/>
        </w:rPr>
        <w:t>3. Гладуш Н. Ф. Contrastive Grammar: Theory and Practice / авт.-укл.: Н. Ф. Гладуш, Н. В. Павлюк; Київ. ун-т. ім. Б. Грінченка; Нац. ун-т «Києво-Могилянська академія». К., 2019. 296 с.</w:t>
      </w:r>
    </w:p>
    <w:p>
      <w:pPr>
        <w:pStyle w:val="11"/>
        <w:keepNext w:val="0"/>
        <w:keepLines w:val="0"/>
        <w:widowControl/>
        <w:suppressLineNumbers w:val="0"/>
        <w:bidi w:val="0"/>
        <w:spacing w:before="240" w:beforeAutospacing="0" w:after="240" w:afterAutospacing="0" w:line="15" w:lineRule="atLeast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6"/>
          <w:szCs w:val="26"/>
          <w:u w:val="none"/>
          <w:vertAlign w:val="baseline"/>
        </w:rPr>
        <w:t>4. Левицький А.Е. Порівняльна граматика англійської та української мов: навчальний посібник. К.: Освіта України, 2007. 138 с.</w:t>
      </w:r>
    </w:p>
    <w:p>
      <w:pPr>
        <w:pStyle w:val="11"/>
        <w:keepNext w:val="0"/>
        <w:keepLines w:val="0"/>
        <w:widowControl/>
        <w:suppressLineNumbers w:val="0"/>
        <w:bidi w:val="0"/>
        <w:spacing w:before="240" w:beforeAutospacing="0" w:after="240" w:afterAutospacing="0" w:line="15" w:lineRule="atLeast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6"/>
          <w:szCs w:val="26"/>
          <w:u w:val="none"/>
          <w:vertAlign w:val="baseline"/>
        </w:rPr>
        <w:t>5. Мирончук Т. А. Збірник вправ з порівняльної граматики англійської та української мов: навч. посіб. для студ. вищ. навч. закл. К.: МАУП, 2005. 128 с.</w:t>
      </w:r>
    </w:p>
    <w:p>
      <w:pPr>
        <w:pStyle w:val="11"/>
        <w:keepNext w:val="0"/>
        <w:keepLines w:val="0"/>
        <w:widowControl/>
        <w:suppressLineNumbers w:val="0"/>
        <w:bidi w:val="0"/>
        <w:spacing w:before="240" w:beforeAutospacing="0" w:after="240" w:afterAutospacing="0" w:line="15" w:lineRule="atLeast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6"/>
          <w:szCs w:val="26"/>
          <w:u w:val="none"/>
          <w:vertAlign w:val="baseline"/>
        </w:rPr>
        <w:t>6.  Pavlyuk N. Contrastive Grammar of English and Ukrainian. Донецьк: ДонНУ, 2010. 197 p.</w:t>
      </w:r>
    </w:p>
    <w:p>
      <w:pPr>
        <w:pStyle w:val="11"/>
        <w:keepNext w:val="0"/>
        <w:keepLines w:val="0"/>
        <w:widowControl/>
        <w:suppressLineNumbers w:val="0"/>
        <w:bidi w:val="0"/>
        <w:spacing w:before="240" w:beforeAutospacing="0" w:after="240" w:afterAutospacing="0" w:line="15" w:lineRule="atLeast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6"/>
          <w:szCs w:val="26"/>
          <w:u w:val="none"/>
          <w:vertAlign w:val="baseline"/>
        </w:rPr>
        <w:t>7. Volkova L.M. Theoretical Grammar of English: Modern Approach. К.: Освіта України, 2009. P. 113-128.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0" w:after="240" w:line="331" w:lineRule="auto"/>
        <w:ind w:left="0" w:right="0" w:firstLine="0"/>
        <w:jc w:val="left"/>
        <w:rPr>
          <w:rFonts w:hint="default" w:ascii="Arial" w:hAnsi="Arial" w:eastAsia="Arial" w:cs="Arial"/>
          <w:lang w:val="pl-PL"/>
        </w:rPr>
      </w:pPr>
    </w:p>
    <w:sectPr>
      <w:pgSz w:w="11906" w:h="16838"/>
      <w:pgMar w:top="1134" w:right="1134" w:bottom="1134" w:left="1134" w:header="0" w:footer="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panose1 w:val="02020603050405020304"/>
    <w:charset w:val="86"/>
    <w:family w:val="auto"/>
    <w:pitch w:val="default"/>
    <w:sig w:usb0="E0000AFF" w:usb1="500078FF" w:usb2="00000021" w:usb3="00000000" w:csb0="600001BF" w:csb1="DFF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D6F10A"/>
    <w:multiLevelType w:val="singleLevel"/>
    <w:tmpl w:val="B4D6F10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1BC6026A"/>
    <w:rsid w:val="517354DD"/>
    <w:rsid w:val="77CA1A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Liberation Serif" w:hAnsi="Liberation Serif" w:eastAsia="Liberation Serif" w:cs="Liberation Serif"/>
      <w:sz w:val="24"/>
      <w:szCs w:val="24"/>
      <w:lang w:val="ru-RU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12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3">
    <w:name w:val="Table Normal"/>
    <w:uiPriority w:val="0"/>
  </w:style>
  <w:style w:type="table" w:customStyle="1" w:styleId="14">
    <w:name w:val="_Style 10"/>
    <w:basedOn w:val="13"/>
    <w:uiPriority w:val="0"/>
    <w:tblPr>
      <w:tblCellMar>
        <w:top w:w="55" w:type="dxa"/>
        <w:left w:w="50" w:type="dxa"/>
        <w:bottom w:w="55" w:type="dxa"/>
        <w:right w:w="5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Office_12.2.0.13538_F1E327BC-269C-435d-A152-05C5408002CA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2024-03-17T18:14:00Z</dcterms:created>
  <dc:creator>W</dc:creator>
  <cp:lastModifiedBy>irena snikhovska</cp:lastModifiedBy>
  <dcterms:modified xsi:type="dcterms:W3CDTF">2024-03-30T21:49:21Z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9F6FE8C6C81B439C8F33B26E5E506516_13</vt:lpwstr>
  </property>
</Properties>
</file>