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537045" w:rsidP="00537045">
      <w:pPr>
        <w:spacing w:after="0"/>
        <w:jc w:val="both"/>
      </w:pPr>
      <w:r>
        <w:t xml:space="preserve">Практичне заняття з навчальної дисципліни «Управління </w:t>
      </w:r>
      <w:proofErr w:type="spellStart"/>
      <w:r>
        <w:t>ритейл</w:t>
      </w:r>
      <w:proofErr w:type="spellEnd"/>
      <w:r>
        <w:t>-технологіями» тема: «Індекс лояльності клієнтів», «Стратегії ціноутворення»</w:t>
      </w:r>
    </w:p>
    <w:p w:rsidR="00537045" w:rsidRDefault="00537045" w:rsidP="00537045">
      <w:pPr>
        <w:spacing w:after="0"/>
        <w:jc w:val="both"/>
      </w:pPr>
      <w:r w:rsidRPr="00025E27">
        <w:rPr>
          <w:b/>
        </w:rPr>
        <w:t>1.</w:t>
      </w:r>
      <w:r>
        <w:t xml:space="preserve"> Підприємство протягом місяця щотижня проводило опитування споживачів, щодо оцінки їх прихильності до їх магазину. Результати опитування наведені в таблиці 1. Розрахувати індекс </w:t>
      </w:r>
      <w:r>
        <w:rPr>
          <w:lang w:val="en-US"/>
        </w:rPr>
        <w:t>NPS</w:t>
      </w:r>
      <w:r>
        <w:t>, зробити висновки.</w:t>
      </w:r>
    </w:p>
    <w:p w:rsidR="000C4A70" w:rsidRDefault="000C4A70" w:rsidP="000C4A70">
      <w:pPr>
        <w:spacing w:after="0"/>
        <w:jc w:val="right"/>
      </w:pPr>
      <w:r>
        <w:t>Таблиця 1</w:t>
      </w:r>
    </w:p>
    <w:p w:rsidR="000C4A70" w:rsidRDefault="004106D7" w:rsidP="000C4A70">
      <w:pPr>
        <w:spacing w:after="0"/>
        <w:jc w:val="center"/>
      </w:pPr>
      <w:r>
        <w:t>Результати опитування</w:t>
      </w: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5524"/>
        <w:gridCol w:w="1238"/>
        <w:gridCol w:w="1239"/>
        <w:gridCol w:w="1238"/>
        <w:gridCol w:w="1239"/>
      </w:tblGrid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Чи порадили б Ви своїм знайомим та родичам відвідати наш магазин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дані 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дані 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дані 3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дані 4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0 – нізащо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1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4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3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4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4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3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6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1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8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  <w:tc>
          <w:tcPr>
            <w:tcW w:w="1239" w:type="dxa"/>
            <w:vAlign w:val="center"/>
          </w:tcPr>
          <w:p w:rsidR="00537045" w:rsidRDefault="00A16350" w:rsidP="00A16350">
            <w:pPr>
              <w:jc w:val="center"/>
            </w:pPr>
            <w:r>
              <w:t>2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7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center"/>
          </w:tcPr>
          <w:p w:rsidR="00537045" w:rsidRDefault="009E6791" w:rsidP="00A16350">
            <w:pPr>
              <w:jc w:val="center"/>
            </w:pPr>
            <w:r>
              <w:t>4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3</w:t>
            </w:r>
          </w:p>
        </w:tc>
        <w:tc>
          <w:tcPr>
            <w:tcW w:w="1239" w:type="dxa"/>
            <w:vAlign w:val="center"/>
          </w:tcPr>
          <w:p w:rsidR="00537045" w:rsidRDefault="009E6791" w:rsidP="00A16350">
            <w:pPr>
              <w:jc w:val="center"/>
            </w:pPr>
            <w:r>
              <w:t>6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8</w:t>
            </w:r>
          </w:p>
        </w:tc>
        <w:tc>
          <w:tcPr>
            <w:tcW w:w="1238" w:type="dxa"/>
            <w:vAlign w:val="center"/>
          </w:tcPr>
          <w:p w:rsidR="00537045" w:rsidRDefault="00875E6D" w:rsidP="00875E6D">
            <w:pPr>
              <w:jc w:val="center"/>
            </w:pPr>
            <w:r>
              <w:t>7</w:t>
            </w:r>
          </w:p>
        </w:tc>
        <w:tc>
          <w:tcPr>
            <w:tcW w:w="1239" w:type="dxa"/>
            <w:vAlign w:val="center"/>
          </w:tcPr>
          <w:p w:rsidR="00537045" w:rsidRDefault="00875E6D" w:rsidP="00A16350">
            <w:pPr>
              <w:jc w:val="center"/>
            </w:pPr>
            <w:r>
              <w:t>6</w:t>
            </w:r>
          </w:p>
        </w:tc>
        <w:tc>
          <w:tcPr>
            <w:tcW w:w="1238" w:type="dxa"/>
            <w:vAlign w:val="center"/>
          </w:tcPr>
          <w:p w:rsidR="00537045" w:rsidRDefault="00875E6D" w:rsidP="00A16350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537045" w:rsidRDefault="009E6791" w:rsidP="00A16350">
            <w:pPr>
              <w:jc w:val="center"/>
            </w:pPr>
            <w:r>
              <w:t>4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9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537045" w:rsidRDefault="009E6791" w:rsidP="00A16350">
            <w:pPr>
              <w:jc w:val="center"/>
            </w:pPr>
            <w:r>
              <w:t>9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5</w:t>
            </w:r>
          </w:p>
        </w:tc>
        <w:tc>
          <w:tcPr>
            <w:tcW w:w="1239" w:type="dxa"/>
            <w:vAlign w:val="center"/>
          </w:tcPr>
          <w:p w:rsidR="00537045" w:rsidRDefault="009E6791" w:rsidP="00A16350">
            <w:pPr>
              <w:jc w:val="center"/>
            </w:pPr>
            <w:r>
              <w:t>8</w:t>
            </w:r>
          </w:p>
        </w:tc>
      </w:tr>
      <w:tr w:rsidR="00537045" w:rsidTr="00BA2187">
        <w:tc>
          <w:tcPr>
            <w:tcW w:w="5524" w:type="dxa"/>
          </w:tcPr>
          <w:p w:rsidR="00537045" w:rsidRDefault="00A16350" w:rsidP="00537045">
            <w:pPr>
              <w:jc w:val="both"/>
            </w:pPr>
            <w:r>
              <w:t>10 – обов’язково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9</w:t>
            </w:r>
          </w:p>
        </w:tc>
        <w:tc>
          <w:tcPr>
            <w:tcW w:w="1239" w:type="dxa"/>
            <w:vAlign w:val="center"/>
          </w:tcPr>
          <w:p w:rsidR="00537045" w:rsidRDefault="009E6791" w:rsidP="00875E6D">
            <w:pPr>
              <w:jc w:val="center"/>
            </w:pPr>
            <w:r>
              <w:t>1</w:t>
            </w:r>
            <w:r w:rsidR="00875E6D">
              <w:t>0</w:t>
            </w:r>
          </w:p>
        </w:tc>
        <w:tc>
          <w:tcPr>
            <w:tcW w:w="1238" w:type="dxa"/>
            <w:vAlign w:val="center"/>
          </w:tcPr>
          <w:p w:rsidR="00537045" w:rsidRDefault="009E6791" w:rsidP="00A16350">
            <w:pPr>
              <w:jc w:val="center"/>
            </w:pPr>
            <w:r>
              <w:t>7</w:t>
            </w:r>
          </w:p>
        </w:tc>
        <w:tc>
          <w:tcPr>
            <w:tcW w:w="1239" w:type="dxa"/>
            <w:vAlign w:val="center"/>
          </w:tcPr>
          <w:p w:rsidR="00537045" w:rsidRDefault="009E6791" w:rsidP="00875E6D">
            <w:pPr>
              <w:jc w:val="center"/>
            </w:pPr>
            <w:r>
              <w:t>1</w:t>
            </w:r>
            <w:r w:rsidR="00875E6D">
              <w:t>2</w:t>
            </w:r>
          </w:p>
        </w:tc>
      </w:tr>
    </w:tbl>
    <w:p w:rsidR="00025E27" w:rsidRDefault="00025E27" w:rsidP="00537045">
      <w:pPr>
        <w:spacing w:after="0"/>
        <w:jc w:val="both"/>
      </w:pPr>
      <w:r>
        <w:t>Проведіть аналогічне опитування у Вашій групі за відомими торговельними мережами, опрацюйте дані, розрахуйте результати, зробить висновки.</w:t>
      </w:r>
    </w:p>
    <w:p w:rsidR="00B37378" w:rsidRDefault="008E5943" w:rsidP="00537045">
      <w:pPr>
        <w:spacing w:after="0"/>
        <w:jc w:val="both"/>
      </w:pPr>
      <w:r>
        <w:t xml:space="preserve">Загальна чисельність респондентів у І опитуванні </w:t>
      </w:r>
      <w:r w:rsidR="00B37378">
        <w:t xml:space="preserve">37, у </w:t>
      </w:r>
      <w:proofErr w:type="spellStart"/>
      <w:r w:rsidR="00B37378">
        <w:t>т.ч</w:t>
      </w:r>
      <w:proofErr w:type="spellEnd"/>
      <w:r w:rsidR="00B37378">
        <w:t xml:space="preserve">. </w:t>
      </w:r>
      <w:proofErr w:type="spellStart"/>
      <w:r w:rsidR="00B37378">
        <w:t>детрактори</w:t>
      </w:r>
      <w:proofErr w:type="spellEnd"/>
      <w:r w:rsidR="00B37378">
        <w:t xml:space="preserve"> 13, пасивні 10, промоутери 14.</w:t>
      </w:r>
    </w:p>
    <w:p w:rsidR="008E5943" w:rsidRDefault="00B37378" w:rsidP="00537045">
      <w:pPr>
        <w:spacing w:after="0"/>
        <w:jc w:val="both"/>
      </w:pPr>
      <w:r>
        <w:t xml:space="preserve">% </w:t>
      </w:r>
      <w:proofErr w:type="spellStart"/>
      <w:r>
        <w:t>детракторів</w:t>
      </w:r>
      <w:proofErr w:type="spellEnd"/>
      <w:r>
        <w:t xml:space="preserve"> = 13/37*100 = 35,14% </w:t>
      </w:r>
    </w:p>
    <w:p w:rsidR="00025E27" w:rsidRDefault="00B37378" w:rsidP="00537045">
      <w:pPr>
        <w:spacing w:after="0"/>
        <w:jc w:val="both"/>
      </w:pPr>
      <w:r>
        <w:t xml:space="preserve">% промоутерів = 14/37*100 = </w:t>
      </w:r>
      <w:r w:rsidR="003B1F6C">
        <w:t>37,88%</w:t>
      </w:r>
    </w:p>
    <w:p w:rsidR="003B1F6C" w:rsidRPr="003B1F6C" w:rsidRDefault="003B1F6C" w:rsidP="00537045">
      <w:pPr>
        <w:spacing w:after="0"/>
        <w:jc w:val="both"/>
      </w:pPr>
      <w:r>
        <w:rPr>
          <w:lang w:val="en-US"/>
        </w:rPr>
        <w:t>NPS</w:t>
      </w:r>
      <w:r w:rsidR="00BA2187">
        <w:t xml:space="preserve"> = 37</w:t>
      </w:r>
      <w:proofErr w:type="gramStart"/>
      <w:r w:rsidR="00BA2187">
        <w:t>,</w:t>
      </w:r>
      <w:r>
        <w:t>88</w:t>
      </w:r>
      <w:proofErr w:type="gramEnd"/>
      <w:r>
        <w:t xml:space="preserve"> – 35,14 = 2,74</w:t>
      </w:r>
    </w:p>
    <w:p w:rsidR="003B1F6C" w:rsidRDefault="003B1F6C" w:rsidP="00537045">
      <w:pPr>
        <w:spacing w:after="0"/>
        <w:jc w:val="both"/>
      </w:pPr>
    </w:p>
    <w:p w:rsidR="00025E27" w:rsidRDefault="00025E27" w:rsidP="00537045">
      <w:pPr>
        <w:spacing w:after="0"/>
        <w:jc w:val="both"/>
      </w:pPr>
      <w:r w:rsidRPr="00F25161">
        <w:rPr>
          <w:b/>
        </w:rPr>
        <w:t>2.</w:t>
      </w:r>
      <w:r>
        <w:t xml:space="preserve"> </w:t>
      </w:r>
      <w:r w:rsidR="000C4A70">
        <w:t xml:space="preserve">Результати попередніх акцій щодо зниження ціни на різні товари дали змогу </w:t>
      </w:r>
      <w:r w:rsidR="00733900">
        <w:t>оцінити еластичність попиту на різні види товарів</w:t>
      </w:r>
      <w:r w:rsidR="008E34AB">
        <w:t xml:space="preserve"> за ціною</w:t>
      </w:r>
      <w:r w:rsidR="00733900">
        <w:t xml:space="preserve"> (відношення темпу зростання обсягу до темпу зниження ціни). На основі даних визначити, при яких знижках </w:t>
      </w:r>
      <w:proofErr w:type="spellStart"/>
      <w:r w:rsidR="00EA42F0">
        <w:t>тобарооборот</w:t>
      </w:r>
      <w:proofErr w:type="spellEnd"/>
      <w:r w:rsidR="00733900">
        <w:t xml:space="preserve"> магазину буде максимальним.</w:t>
      </w:r>
    </w:p>
    <w:p w:rsidR="00733900" w:rsidRDefault="00733900" w:rsidP="00733900">
      <w:pPr>
        <w:spacing w:after="0"/>
        <w:jc w:val="right"/>
      </w:pPr>
      <w:r>
        <w:t>Таблиця 2</w:t>
      </w:r>
    </w:p>
    <w:p w:rsidR="00733900" w:rsidRDefault="00733900" w:rsidP="00733900">
      <w:pPr>
        <w:spacing w:after="0"/>
        <w:jc w:val="center"/>
      </w:pPr>
      <w:r>
        <w:t xml:space="preserve">Данні про закупівельні ціни, </w:t>
      </w:r>
      <w:r w:rsidR="008E34AB">
        <w:t>торговельну націнку та еластичність попиту на акційні товари</w:t>
      </w:r>
    </w:p>
    <w:tbl>
      <w:tblPr>
        <w:tblStyle w:val="a3"/>
        <w:tblW w:w="10507" w:type="dxa"/>
        <w:tblLook w:val="04A0" w:firstRow="1" w:lastRow="0" w:firstColumn="1" w:lastColumn="0" w:noHBand="0" w:noVBand="1"/>
      </w:tblPr>
      <w:tblGrid>
        <w:gridCol w:w="866"/>
        <w:gridCol w:w="1559"/>
        <w:gridCol w:w="1506"/>
        <w:gridCol w:w="1788"/>
        <w:gridCol w:w="1576"/>
        <w:gridCol w:w="1566"/>
        <w:gridCol w:w="1646"/>
      </w:tblGrid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Закупівельна ціна од. товару, грн.</w:t>
            </w:r>
          </w:p>
        </w:tc>
        <w:tc>
          <w:tcPr>
            <w:tcW w:w="150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Торговельна націнка, %</w:t>
            </w:r>
          </w:p>
        </w:tc>
        <w:tc>
          <w:tcPr>
            <w:tcW w:w="1788" w:type="dxa"/>
            <w:vAlign w:val="center"/>
          </w:tcPr>
          <w:p w:rsidR="00055568" w:rsidRPr="005152E7" w:rsidRDefault="003C6F9D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Обсяг реалізації</w:t>
            </w:r>
            <w:r w:rsidR="00055568" w:rsidRPr="005152E7">
              <w:rPr>
                <w:sz w:val="24"/>
                <w:szCs w:val="24"/>
              </w:rPr>
              <w:t>, од.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Еластичність попиту за ціною, при знижці 5%</w:t>
            </w:r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Еластичність попиту за ціною, при знижці 10%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Еластичність попиту за ціною при знижці 20%</w:t>
            </w:r>
          </w:p>
        </w:tc>
      </w:tr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 1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260,50</w:t>
            </w:r>
          </w:p>
        </w:tc>
        <w:tc>
          <w:tcPr>
            <w:tcW w:w="1506" w:type="dxa"/>
            <w:vMerge w:val="restart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30</w:t>
            </w:r>
          </w:p>
        </w:tc>
        <w:tc>
          <w:tcPr>
            <w:tcW w:w="1788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1,25</w:t>
            </w:r>
          </w:p>
        </w:tc>
      </w:tr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 2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105,70</w:t>
            </w:r>
          </w:p>
        </w:tc>
        <w:tc>
          <w:tcPr>
            <w:tcW w:w="1506" w:type="dxa"/>
            <w:vMerge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2,25</w:t>
            </w:r>
          </w:p>
        </w:tc>
      </w:tr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 3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37,40</w:t>
            </w:r>
          </w:p>
        </w:tc>
        <w:tc>
          <w:tcPr>
            <w:tcW w:w="1506" w:type="dxa"/>
            <w:vMerge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 4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246,90</w:t>
            </w:r>
          </w:p>
        </w:tc>
        <w:tc>
          <w:tcPr>
            <w:tcW w:w="1506" w:type="dxa"/>
            <w:vMerge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2,55</w:t>
            </w:r>
          </w:p>
        </w:tc>
      </w:tr>
      <w:tr w:rsidR="00055568" w:rsidRPr="005152E7" w:rsidTr="005152E7">
        <w:tc>
          <w:tcPr>
            <w:tcW w:w="866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Товар 5</w:t>
            </w:r>
          </w:p>
        </w:tc>
        <w:tc>
          <w:tcPr>
            <w:tcW w:w="1559" w:type="dxa"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  <w:r w:rsidRPr="005152E7">
              <w:rPr>
                <w:sz w:val="24"/>
                <w:szCs w:val="24"/>
              </w:rPr>
              <w:t>196,30</w:t>
            </w:r>
          </w:p>
        </w:tc>
        <w:tc>
          <w:tcPr>
            <w:tcW w:w="1506" w:type="dxa"/>
            <w:vMerge/>
            <w:vAlign w:val="center"/>
          </w:tcPr>
          <w:p w:rsidR="00055568" w:rsidRPr="005152E7" w:rsidRDefault="00055568" w:rsidP="00515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56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46" w:type="dxa"/>
            <w:vAlign w:val="center"/>
          </w:tcPr>
          <w:p w:rsidR="00055568" w:rsidRPr="005152E7" w:rsidRDefault="00055568" w:rsidP="005152E7">
            <w:pPr>
              <w:jc w:val="center"/>
              <w:rPr>
                <w:color w:val="000000"/>
                <w:sz w:val="24"/>
                <w:szCs w:val="24"/>
              </w:rPr>
            </w:pPr>
            <w:r w:rsidRPr="005152E7"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C7A3F" w:rsidRPr="005152E7" w:rsidRDefault="00665045" w:rsidP="00A67B59">
      <w:pPr>
        <w:spacing w:after="0"/>
        <w:jc w:val="both"/>
        <w:rPr>
          <w:u w:val="single"/>
        </w:rPr>
      </w:pPr>
      <w:r w:rsidRPr="005152E7">
        <w:rPr>
          <w:u w:val="single"/>
        </w:rPr>
        <w:lastRenderedPageBreak/>
        <w:t xml:space="preserve">Товар 1. </w:t>
      </w:r>
    </w:p>
    <w:p w:rsidR="00665045" w:rsidRDefault="00665045" w:rsidP="00A67B59">
      <w:pPr>
        <w:spacing w:after="0"/>
        <w:jc w:val="both"/>
      </w:pPr>
      <w:r>
        <w:t>Звичайна ціна 260,50+(260,50*(30/100)) = 260,50 + 78,15 = 338,15 грн.</w:t>
      </w:r>
    </w:p>
    <w:p w:rsidR="00665045" w:rsidRDefault="00665045" w:rsidP="00665045">
      <w:pPr>
        <w:spacing w:after="0"/>
        <w:jc w:val="both"/>
      </w:pPr>
      <w:r>
        <w:t xml:space="preserve">Товарооборот за звичайними цінами 338,15*100 = </w:t>
      </w:r>
      <w:r w:rsidRPr="00B36A2A">
        <w:rPr>
          <w:b/>
        </w:rPr>
        <w:t>33815,0 грн.</w:t>
      </w:r>
    </w:p>
    <w:p w:rsidR="00665045" w:rsidRDefault="00665045" w:rsidP="00A67B59">
      <w:pPr>
        <w:spacing w:after="0"/>
        <w:jc w:val="both"/>
      </w:pPr>
      <w:r>
        <w:t>Ціна із знижкою 5% 338,15-(338,15*(5/100)) = 338,15 – 16,91 = 321,24 грн.</w:t>
      </w:r>
    </w:p>
    <w:p w:rsidR="00665045" w:rsidRDefault="003C6F9D" w:rsidP="00A67B59">
      <w:pPr>
        <w:spacing w:after="0"/>
        <w:jc w:val="both"/>
      </w:pPr>
      <w:r>
        <w:t xml:space="preserve">Обсяг реалізації за ціною із знижкою 5% </w:t>
      </w:r>
      <w:r w:rsidR="00B36A2A">
        <w:t xml:space="preserve">321,24*(100+ 100*(1*5/100)) = </w:t>
      </w:r>
      <w:r w:rsidR="00B36A2A" w:rsidRPr="00B36A2A">
        <w:rPr>
          <w:b/>
        </w:rPr>
        <w:t>33730,2 грн.</w:t>
      </w:r>
    </w:p>
    <w:p w:rsidR="00B36A2A" w:rsidRDefault="00B36A2A" w:rsidP="00A67B59">
      <w:pPr>
        <w:spacing w:after="0"/>
        <w:jc w:val="both"/>
      </w:pPr>
      <w:r>
        <w:t>Акція не вигідна.</w:t>
      </w:r>
    </w:p>
    <w:p w:rsidR="00B36A2A" w:rsidRDefault="00B36A2A" w:rsidP="00A67B59">
      <w:pPr>
        <w:spacing w:after="0"/>
        <w:jc w:val="both"/>
      </w:pPr>
      <w:r>
        <w:t>Ціна зі знижкою 10% 338,15-(338,15*(10/100)) = 304,34 грн.</w:t>
      </w:r>
    </w:p>
    <w:p w:rsidR="00B36A2A" w:rsidRDefault="00B36A2A" w:rsidP="00A67B59">
      <w:pPr>
        <w:spacing w:after="0"/>
        <w:jc w:val="both"/>
        <w:rPr>
          <w:b/>
        </w:rPr>
      </w:pPr>
      <w:r>
        <w:t>Обсяг реалізації за ціною із знижкою 10% 304,34/(100+100</w:t>
      </w:r>
      <w:r w:rsidR="00473441">
        <w:t xml:space="preserve">*(1,2*10/100)) = </w:t>
      </w:r>
      <w:r w:rsidR="00473441">
        <w:rPr>
          <w:b/>
        </w:rPr>
        <w:t>34086,08 грн</w:t>
      </w:r>
    </w:p>
    <w:p w:rsidR="00473441" w:rsidRDefault="00473441" w:rsidP="00A67B59">
      <w:pPr>
        <w:spacing w:after="0"/>
        <w:jc w:val="both"/>
      </w:pPr>
      <w:r w:rsidRPr="00473441">
        <w:t>Акція вигідна.</w:t>
      </w:r>
    </w:p>
    <w:p w:rsidR="00473441" w:rsidRDefault="00473441" w:rsidP="00473441">
      <w:pPr>
        <w:spacing w:after="0"/>
        <w:jc w:val="both"/>
      </w:pPr>
      <w:r>
        <w:t>Ціна з</w:t>
      </w:r>
      <w:r>
        <w:t>і знижкою 10% 338,15-(338,15*(20</w:t>
      </w:r>
      <w:r>
        <w:t xml:space="preserve">/100)) = </w:t>
      </w:r>
      <w:r>
        <w:t>270,52</w:t>
      </w:r>
      <w:r>
        <w:t xml:space="preserve"> грн.</w:t>
      </w:r>
    </w:p>
    <w:p w:rsidR="00473441" w:rsidRDefault="00473441" w:rsidP="00473441">
      <w:pPr>
        <w:spacing w:after="0"/>
        <w:jc w:val="both"/>
        <w:rPr>
          <w:b/>
        </w:rPr>
      </w:pPr>
      <w:r>
        <w:t xml:space="preserve">Обсяг </w:t>
      </w:r>
      <w:r>
        <w:t>реалізації за ціною із знижкою 2</w:t>
      </w:r>
      <w:r>
        <w:t xml:space="preserve">0% </w:t>
      </w:r>
      <w:r>
        <w:t>270,52</w:t>
      </w:r>
      <w:r>
        <w:t>/(100+100*(1,2</w:t>
      </w:r>
      <w:r>
        <w:t>5*2</w:t>
      </w:r>
      <w:r>
        <w:t xml:space="preserve">0/100)) = </w:t>
      </w:r>
      <w:r>
        <w:rPr>
          <w:b/>
        </w:rPr>
        <w:t>33815,0 грн</w:t>
      </w:r>
    </w:p>
    <w:p w:rsidR="00473441" w:rsidRPr="00473441" w:rsidRDefault="00473441" w:rsidP="00A67B59">
      <w:pPr>
        <w:spacing w:after="0"/>
        <w:jc w:val="both"/>
      </w:pPr>
      <w:r>
        <w:t>Акція не принесе ані прибутку, ані збитку.</w:t>
      </w:r>
    </w:p>
    <w:sectPr w:rsidR="00473441" w:rsidRPr="00473441" w:rsidSect="00F25161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B0"/>
    <w:rsid w:val="00025E27"/>
    <w:rsid w:val="00055568"/>
    <w:rsid w:val="00090A69"/>
    <w:rsid w:val="000C4A70"/>
    <w:rsid w:val="001109B0"/>
    <w:rsid w:val="00177E37"/>
    <w:rsid w:val="002C7A3F"/>
    <w:rsid w:val="003A3A46"/>
    <w:rsid w:val="003B1F6C"/>
    <w:rsid w:val="003C6F9D"/>
    <w:rsid w:val="004106D7"/>
    <w:rsid w:val="00447182"/>
    <w:rsid w:val="00473441"/>
    <w:rsid w:val="005152E7"/>
    <w:rsid w:val="00537045"/>
    <w:rsid w:val="005B5C98"/>
    <w:rsid w:val="005F1B24"/>
    <w:rsid w:val="00665045"/>
    <w:rsid w:val="006C0B77"/>
    <w:rsid w:val="006D5E06"/>
    <w:rsid w:val="007218DD"/>
    <w:rsid w:val="00733900"/>
    <w:rsid w:val="00805C94"/>
    <w:rsid w:val="00813C02"/>
    <w:rsid w:val="008242FF"/>
    <w:rsid w:val="00870751"/>
    <w:rsid w:val="00875E6D"/>
    <w:rsid w:val="00883139"/>
    <w:rsid w:val="008A0DC2"/>
    <w:rsid w:val="008E34AB"/>
    <w:rsid w:val="008E5943"/>
    <w:rsid w:val="00922C48"/>
    <w:rsid w:val="00953494"/>
    <w:rsid w:val="009D32F7"/>
    <w:rsid w:val="009E6791"/>
    <w:rsid w:val="00A079F2"/>
    <w:rsid w:val="00A16350"/>
    <w:rsid w:val="00A32DEC"/>
    <w:rsid w:val="00A67B59"/>
    <w:rsid w:val="00AB0EBB"/>
    <w:rsid w:val="00AC7471"/>
    <w:rsid w:val="00B36A2A"/>
    <w:rsid w:val="00B37378"/>
    <w:rsid w:val="00B915B7"/>
    <w:rsid w:val="00B975D7"/>
    <w:rsid w:val="00BA2187"/>
    <w:rsid w:val="00C00767"/>
    <w:rsid w:val="00CF47B0"/>
    <w:rsid w:val="00EA42F0"/>
    <w:rsid w:val="00EA59DF"/>
    <w:rsid w:val="00EE4070"/>
    <w:rsid w:val="00F12C76"/>
    <w:rsid w:val="00F25161"/>
    <w:rsid w:val="00F2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E598"/>
  <w15:chartTrackingRefBased/>
  <w15:docId w15:val="{AEBF1A3C-B28A-4B84-9164-97FECC5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18</cp:revision>
  <dcterms:created xsi:type="dcterms:W3CDTF">2024-03-21T12:33:00Z</dcterms:created>
  <dcterms:modified xsi:type="dcterms:W3CDTF">2024-03-29T10:48:00Z</dcterms:modified>
</cp:coreProperties>
</file>