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14" w:rsidRPr="008F4E14" w:rsidRDefault="008F4E14" w:rsidP="008F4E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3</w:t>
      </w:r>
      <w:r w:rsidRPr="008F4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8F4E14" w:rsidRPr="008F4E14" w:rsidRDefault="008F4E14" w:rsidP="008F4E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b/>
          <w:sz w:val="28"/>
          <w:szCs w:val="28"/>
          <w:lang w:val="uk-UA"/>
        </w:rPr>
        <w:t>Підходи до типології іредентизму</w:t>
      </w:r>
    </w:p>
    <w:p w:rsid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4E14" w:rsidRP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sz w:val="28"/>
          <w:szCs w:val="28"/>
          <w:lang w:val="uk-UA"/>
        </w:rPr>
        <w:t>1. Складність ідентифікації та уніфікації різних проявів та типів іредентизму.</w:t>
      </w:r>
    </w:p>
    <w:p w:rsidR="008F4E14" w:rsidRP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sz w:val="28"/>
          <w:szCs w:val="28"/>
          <w:lang w:val="uk-UA"/>
        </w:rPr>
        <w:t xml:space="preserve">2. Типологія іредентизму </w:t>
      </w:r>
      <w:proofErr w:type="spellStart"/>
      <w:r w:rsidRPr="008F4E14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8F4E14">
        <w:rPr>
          <w:rFonts w:ascii="Times New Roman" w:hAnsi="Times New Roman" w:cs="Times New Roman"/>
          <w:sz w:val="28"/>
          <w:szCs w:val="28"/>
          <w:lang w:val="uk-UA"/>
        </w:rPr>
        <w:t>. Ландау: поміркований та радикальний тип.</w:t>
      </w:r>
    </w:p>
    <w:p w:rsid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sz w:val="28"/>
          <w:szCs w:val="28"/>
          <w:lang w:val="uk-UA"/>
        </w:rPr>
        <w:t xml:space="preserve">3. Різновиди іредентизму відповідно до статусу його учасників: </w:t>
      </w:r>
    </w:p>
    <w:p w:rsid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sz w:val="28"/>
          <w:szCs w:val="28"/>
          <w:lang w:val="uk-UA"/>
        </w:rPr>
        <w:t xml:space="preserve">1) возз’єднання спорідненої держави і однієї чи кількох етнічних споріднених груп у суміжних державах: </w:t>
      </w:r>
    </w:p>
    <w:p w:rsidR="008F4E14" w:rsidRP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sz w:val="28"/>
          <w:szCs w:val="28"/>
          <w:lang w:val="uk-UA"/>
        </w:rPr>
        <w:t>2) об’єднання кількох етнічних груп, розосереджених між декількома державами-господарями (курди, баски).</w:t>
      </w:r>
    </w:p>
    <w:p w:rsidR="008F4E14" w:rsidRP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sz w:val="28"/>
          <w:szCs w:val="28"/>
          <w:lang w:val="uk-UA"/>
        </w:rPr>
        <w:t>4. Західний та східний типи іредентизму та їх особливості.</w:t>
      </w:r>
    </w:p>
    <w:p w:rsidR="008F4E14" w:rsidRPr="008F4E14" w:rsidRDefault="008F4E14" w:rsidP="008F4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sz w:val="28"/>
          <w:szCs w:val="28"/>
          <w:lang w:val="uk-UA"/>
        </w:rPr>
        <w:t xml:space="preserve">5. Класифікація іредентизму відповідно до певних критеріїв: ініціатор іредентистських прагнень; характер відносин між суб’єктами іредентизму; характер дій, який приписується іншими політичними акторами суб’єктам іредентизму; зміст </w:t>
      </w:r>
      <w:r>
        <w:rPr>
          <w:rFonts w:ascii="Times New Roman" w:hAnsi="Times New Roman" w:cs="Times New Roman"/>
          <w:sz w:val="28"/>
          <w:szCs w:val="28"/>
          <w:lang w:val="uk-UA"/>
        </w:rPr>
        <w:t>іредентистських вимог</w:t>
      </w:r>
      <w:r w:rsidRPr="008F4E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E14" w:rsidRPr="008F4E14" w:rsidRDefault="008F4E14" w:rsidP="008F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4E14" w:rsidRPr="008F4E14" w:rsidRDefault="008F4E14" w:rsidP="008F4E14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1.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  <w:t xml:space="preserve">A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PRIMA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FACIE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: Студії з історії Європи: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кол.монографія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/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МОН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України, Уманський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пед. ун-т імені Павла Тичини; за ред.: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Рафала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Димчика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, Ігоря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Кривошеї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Київ: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КНТ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>, 2021. 272 с. URL: https://culonline.com.ua/catalog/gumanitarni-nauki/a-prima-facie-studii-z-istoriievropi-monografiyayu-za-red-i-krivoshei-1-1/read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2.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Брюбейкер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Р.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Переобрамлений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націоналізм : статус нації та національне питання у новій Європі; пер. з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англ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О.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Рябов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Львів :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Кальварія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>, 2006. 279 с.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3.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  <w:t xml:space="preserve">Горло Н.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Генеза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і розвиток іредентизму в контексті змін системи міжнародних відносин. Вісник Львівського університету. Серія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філософсько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-політологічні студії. 2017.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Вип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>. 12. С. 187-194. http://nbuv.gov.ua/UJRN/Vlu_fps_2017_12_28 .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4.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  <w:t xml:space="preserve">Горло Н. В. Підходи до визначення сутності іредентизму: методологічний аспект. Науковий часопис Національного педагогічного університету імені М. П. Драгоманова. Серія 22. Політичні науки та методика викладання соціально-політичних дисциплін. 2016. Випуск 20. С. 12–18. http://nbuv.gov.ua/UJRN/Nchnpu_022_2016_20_4. 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5.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  <w:t xml:space="preserve">Горло Н. В. Концептуальні засади і практика іредентизму: внутрішньополітичний і міжнародно-політичний контексти: монографія. Запоріжжя: Запорізький національний університет, 2019. 448 с. URL: http://surl.li/pbhrh 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6.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Дронов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В. Ю. Міжнародні відносини та світова політика :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навч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.-метод.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посіб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[Електронний ресурс] / В. Ю.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Дронов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; НУ «Одеська юридична академія». Одесса : Фенікс, 2022. 132 с. URL: http://surl.li/ozwfk 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7.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Капітоненко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М. Г. Теорія міжнародних відносин. – Чернівці: Видавництво «Книги ХХІ століття», 2019. 272с. URL: https://nubip.edu.ua/sites/default/files/u362/kravchenko_n.b._nmposibnik-2019- teoriya_mizhnarodnih_vidnosin.pdf 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8.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Рябінін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Є. В. Природа іредентизму: теоретичний аспект. Вісник Харківського національного університету імені В. Н. Каразіна. Серія : Питання політології. 2013. № 1060,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вип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23. С. 48-52. http://nbuv.gov.ua/UJRN/VKhIPP_2013_1060_23_11 Теорія міжнародних відносин : підручник / [М. П.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Требін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, Л. М.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Герасіна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, О. Ю. Панфілов та ін.] ; за ред. М. П.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Требіна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;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Нац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юрид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ун-т ім. Ярослава Мудрого. Харків : Право, 2022. 472 с. URL: http://surl.li/pbext 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lastRenderedPageBreak/>
        <w:t>9.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Ambrosio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T.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Irredentism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: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ethnic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conflict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and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international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politics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Westport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: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Praeger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Publ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., 2001. 226 p. URL: http://surl.li/ozjyx 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10.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Hale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C,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Siroky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D.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Irredentism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and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Institutions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British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Journal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of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Political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Science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2023. № 53 (2).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Pp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498-515. https://www.cambridge.org/core/services/aop-cambridge-core/content/view/AF6C651EFA2ED03DC65EDA0C1BA96F16/S0007123422000151a.pdf/irredentism-and-institutions.pdf 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8F4E14">
        <w:rPr>
          <w:rFonts w:ascii="Times New Roman" w:hAnsi="Times New Roman" w:cs="Times New Roman"/>
          <w:sz w:val="24"/>
          <w:szCs w:val="28"/>
          <w:lang w:val="uk-UA"/>
        </w:rPr>
        <w:t>11.</w:t>
      </w:r>
      <w:r w:rsidRPr="008F4E14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Malbašić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Z.,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Trbojević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M.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Defining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irredentism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as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a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security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phenomenon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NBP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Nauka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bezbednost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policija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2020.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vol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 xml:space="preserve">. 25, </w:t>
      </w:r>
      <w:proofErr w:type="spellStart"/>
      <w:r w:rsidRPr="008F4E14">
        <w:rPr>
          <w:rFonts w:ascii="Times New Roman" w:hAnsi="Times New Roman" w:cs="Times New Roman"/>
          <w:sz w:val="24"/>
          <w:szCs w:val="28"/>
          <w:lang w:val="uk-UA"/>
        </w:rPr>
        <w:t>br</w:t>
      </w:r>
      <w:proofErr w:type="spellEnd"/>
      <w:r w:rsidRPr="008F4E14">
        <w:rPr>
          <w:rFonts w:ascii="Times New Roman" w:hAnsi="Times New Roman" w:cs="Times New Roman"/>
          <w:sz w:val="24"/>
          <w:szCs w:val="28"/>
          <w:lang w:val="uk-UA"/>
        </w:rPr>
        <w:t>. 2, S. 39 – 51. https://scindeks-clanci.ceon.rs/data/pdf/0354-8872/2020/0354-88722002039M.pdf</w:t>
      </w:r>
    </w:p>
    <w:p w:rsidR="008F4E14" w:rsidRPr="008F4E14" w:rsidRDefault="008F4E14" w:rsidP="008F4E14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4E14" w:rsidRPr="008F4E14" w:rsidRDefault="008F4E14" w:rsidP="008F4E14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E1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8F4E14" w:rsidRDefault="008F4E14" w:rsidP="000726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268A" w:rsidRPr="0007268A" w:rsidRDefault="0007268A" w:rsidP="00072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7268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1. Наведіть приклади випадків іредентизму відповідно до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наступних</w:t>
      </w:r>
      <w:r w:rsidRPr="0007268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критеріїв: </w:t>
      </w:r>
    </w:p>
    <w:p w:rsidR="0007268A" w:rsidRPr="0007268A" w:rsidRDefault="0007268A" w:rsidP="000726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2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ініціатор іредентистських прагнень; </w:t>
      </w:r>
    </w:p>
    <w:p w:rsidR="0007268A" w:rsidRPr="0007268A" w:rsidRDefault="0007268A" w:rsidP="000726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2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 відносин між суб’єктами іредентизму; </w:t>
      </w:r>
    </w:p>
    <w:p w:rsidR="0007268A" w:rsidRPr="0007268A" w:rsidRDefault="0007268A" w:rsidP="000726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2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 дій, який приписується іншими політичними акторами суб’єктам іредентизму; </w:t>
      </w:r>
    </w:p>
    <w:p w:rsidR="0007268A" w:rsidRPr="0007268A" w:rsidRDefault="0007268A" w:rsidP="000726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2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 іредентистських вимог.</w:t>
      </w:r>
    </w:p>
    <w:p w:rsidR="0007268A" w:rsidRDefault="0007268A" w:rsidP="00072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268A" w:rsidRPr="0007268A" w:rsidRDefault="0007268A" w:rsidP="00072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7268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2. Наведіть приклади малого і тотального іредентизму. </w:t>
      </w:r>
    </w:p>
    <w:p w:rsidR="0007268A" w:rsidRDefault="0007268A" w:rsidP="00072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268A" w:rsidRPr="0007268A" w:rsidRDefault="0007268A" w:rsidP="00072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7268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Проаналізуйте анексію Криму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РФ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у 2014р.</w:t>
      </w:r>
      <w:r w:rsidRPr="0007268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До яких видів іредентизму можна віднести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цю подію? </w:t>
      </w:r>
      <w:r w:rsidRPr="0007268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8F4E14" w:rsidRDefault="008F4E14" w:rsidP="008F4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4E14" w:rsidRDefault="008F4E14" w:rsidP="008F4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42A3" w:rsidRPr="0007268A" w:rsidRDefault="0007268A" w:rsidP="0007268A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lang w:val="uk-UA"/>
        </w:rPr>
      </w:pPr>
      <w:r w:rsidRPr="0007268A">
        <w:rPr>
          <w:rFonts w:ascii="Times New Roman" w:hAnsi="Times New Roman" w:cs="Times New Roman"/>
          <w:b/>
          <w:i/>
          <w:sz w:val="28"/>
          <w:lang w:val="uk-UA"/>
        </w:rPr>
        <w:t xml:space="preserve">Методичні рекомендації </w:t>
      </w:r>
    </w:p>
    <w:p w:rsidR="008F4E14" w:rsidRPr="0035512A" w:rsidRDefault="008F4E14" w:rsidP="0035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У зарубіжних країнах існує досить велика кількість публікацій з аналізом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механізму взаємовідносин спорідненої держави і меншини-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іреденти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>, але попри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типологій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іредентизму, які б характеризували його різновиди, обмаль. Тим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часом розробка такої типології необхідна для того, щоб вірно ідентифікувати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різні прояви іредентизму.</w:t>
      </w:r>
    </w:p>
    <w:p w:rsidR="008F4E14" w:rsidRPr="0035512A" w:rsidRDefault="008F4E14" w:rsidP="0035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Найбільш відомою є типологія зарубі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жного науковця </w:t>
      </w:r>
      <w:proofErr w:type="spellStart"/>
      <w:r w:rsidR="0035512A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. Ландау, який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пов’язує іредентизм з політичним курсом держави і виділяє два його різновиди: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поміркований, метою якого є захист етнічн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о спорідненого населення від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асиміляції і дискримінації, та радикал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ьний, спрямований на приєднання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(анексію) територій, на яких проживають с</w:t>
      </w:r>
      <w:r w:rsidR="0007268A">
        <w:rPr>
          <w:rFonts w:ascii="Times New Roman" w:hAnsi="Times New Roman" w:cs="Times New Roman"/>
          <w:sz w:val="28"/>
          <w:szCs w:val="28"/>
          <w:lang w:val="uk-UA"/>
        </w:rPr>
        <w:t>поріднені групи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. Вважаємо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дану типологію вкрай важливою для аналізу іредентизму у його різних проявах,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адже правомірність такого підходу засвідчує досвід багатьох сучасних держав,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які, маючи співвітчизників за кордоном, 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е вдаються до агресивних дій по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поверненню територій, на які, як вв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ажають представники радикальних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націоналістичних партій, вони мають право, але намагаються всіляко впливати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на життя співвітчизників.</w:t>
      </w:r>
    </w:p>
    <w:p w:rsidR="008F4E14" w:rsidRPr="0035512A" w:rsidRDefault="0007268A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учасний іре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дентизм під </w:t>
      </w:r>
      <w:r>
        <w:rPr>
          <w:rFonts w:ascii="Times New Roman" w:hAnsi="Times New Roman" w:cs="Times New Roman"/>
          <w:sz w:val="28"/>
          <w:szCs w:val="28"/>
          <w:lang w:val="uk-UA"/>
        </w:rPr>
        <w:t>гаслами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захисту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«знедолених» етнічно споріднених груп фактично продовжує віковий феномен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експансіонізму. У цьому аспекті слід згадати середньовічні хрестові походи, які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мотивувалися захистом християн і християн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ських святинь, а вже з ближчого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періоду – втручання США у справи інших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держав під приводом принесення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демократії у країни, жителі яких потерпа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ють від недемократичних режимів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(Лівія, Ірак).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Однак типологія, запропонована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Ландау, не може претендувати на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універсальність. З одного боку, поді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л іредентизму на поміркований і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радикальний варіанти є по суті виділенням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чистих, або ідеальних типів, у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реальному житті вони досить часто переплітаються, адже поміркований характер може тимчасово замасковувати радикальні цілі.</w:t>
      </w:r>
    </w:p>
    <w:p w:rsid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Типологізувати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іредентизм доцільно за кр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итерієм статусу його учасників.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Власне, такий підхід бачимо у працях Д. Горовіца і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Дж.К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Фузесі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>, які виділяють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два типи іредентизму: </w:t>
      </w:r>
    </w:p>
    <w:p w:rsidR="0007268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1) возз’єднання спорідненої держави і однієї чи кількох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етнічних споріднених груп у суміжних 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державах: </w:t>
      </w:r>
    </w:p>
    <w:p w:rsidR="0007268A" w:rsidRDefault="0035512A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об’єднання кількох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етнічних груп, розосереджених між декількома державами-господарями (курди,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баски)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На думку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Дж.К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Фузесі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ругий варіант – </w:t>
      </w:r>
      <w:proofErr w:type="spellStart"/>
      <w:r w:rsidR="0035512A">
        <w:rPr>
          <w:rFonts w:ascii="Times New Roman" w:hAnsi="Times New Roman" w:cs="Times New Roman"/>
          <w:sz w:val="28"/>
          <w:szCs w:val="28"/>
          <w:lang w:val="uk-UA"/>
        </w:rPr>
        <w:t>уніфікаційний</w:t>
      </w:r>
      <w:proofErr w:type="spellEnd"/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зустрічається значно рідше, але емпіричні дані доводять еволюційний зв’язок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між обома типами.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Уніфікаційний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іредентизм перетвориться на звичайний тип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після того, як успішно буде створена де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ржава-ядро, тобто </w:t>
      </w:r>
      <w:proofErr w:type="spellStart"/>
      <w:r w:rsidR="0035512A">
        <w:rPr>
          <w:rFonts w:ascii="Times New Roman" w:hAnsi="Times New Roman" w:cs="Times New Roman"/>
          <w:sz w:val="28"/>
          <w:szCs w:val="28"/>
          <w:lang w:val="uk-UA"/>
        </w:rPr>
        <w:t>уніфікаційний</w:t>
      </w:r>
      <w:proofErr w:type="spellEnd"/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іредентизм може існувати як перехідний етап</w:t>
      </w:r>
    </w:p>
    <w:p w:rsidR="0007268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Ще одна типологія іредентизму пов’я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зана з особливостями розділених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народів. За М.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Цагараєвим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>, існують «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>атусно</w:t>
      </w:r>
      <w:proofErr w:type="spellEnd"/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-розділені» і «формально-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розділені» народи.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Статусно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>-розділені – це 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ароди, які живуть по різні боки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державних кордонів, що обумовлює з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агострене сприйняття проблеми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розділеності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і наявність тенденції до виникнення тривалих і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важковирішуваних</w:t>
      </w:r>
      <w:proofErr w:type="spellEnd"/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етнополітичних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конфліктів. Формально-розділені народи, навпаки, проживають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у єдиній державі, але розділені адміністр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ативними кордонами між двома чи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більше її суб’єктами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7268A" w:rsidRDefault="0007268A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оцільно виділити </w:t>
      </w:r>
      <w:r w:rsidR="008F4E14"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зовнішній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F4E14"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внутрішній 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іредентизм. </w:t>
      </w:r>
    </w:p>
    <w:p w:rsidR="008F4E14" w:rsidRPr="0035512A" w:rsidRDefault="0035512A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6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Зовнішній </w:t>
      </w:r>
      <w:r w:rsidR="008F4E14" w:rsidRPr="0007268A">
        <w:rPr>
          <w:rFonts w:ascii="Times New Roman" w:hAnsi="Times New Roman" w:cs="Times New Roman"/>
          <w:b/>
          <w:sz w:val="28"/>
          <w:szCs w:val="28"/>
          <w:lang w:val="uk-UA"/>
        </w:rPr>
        <w:t>іредентизм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перебування спорідне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груп у складі різних держав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виводить це явище на міжнародну політичну арену, а </w:t>
      </w:r>
      <w:r w:rsidR="008F4E14" w:rsidRPr="0007268A">
        <w:rPr>
          <w:rFonts w:ascii="Times New Roman" w:hAnsi="Times New Roman" w:cs="Times New Roman"/>
          <w:b/>
          <w:sz w:val="28"/>
          <w:szCs w:val="28"/>
          <w:lang w:val="uk-UA"/>
        </w:rPr>
        <w:t>внутрішній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проявляється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у межах одного державного утворення, найчастіше у державах з федеративною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E14" w:rsidRPr="0035512A">
        <w:rPr>
          <w:rFonts w:ascii="Times New Roman" w:hAnsi="Times New Roman" w:cs="Times New Roman"/>
          <w:sz w:val="28"/>
          <w:szCs w:val="28"/>
          <w:lang w:val="uk-UA"/>
        </w:rPr>
        <w:t>формою державно-територіального устрою.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У роботі, присвяченій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сецесіоні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>зму</w:t>
      </w:r>
      <w:proofErr w:type="spellEnd"/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, Ф. Попов визначає два види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іредентизму – 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>малий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, який розуміється т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радиційно, як виведення частини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території зі складу однієї держави і 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аступне приєднання до іншої без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нового поля влади, та 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тотальний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– політичний рух, направлений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на приєднання всієї території суверенно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ї держави до іншої вже існуючої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держави, тобто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несеціоністська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фо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>рма іредентизму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268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Російська дослідниця Р.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Бараш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розроби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ла власну типологію об’єднавчих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рухів, обравши в якості вихідного критерію суб’єкта іредентизму і мету, яку він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переслідує. Суб’єктами виступають су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спільний рух або іредентистська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держава. Суспільний рух може ставити мету створення незалежної держави або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входження у склад вже існуючої. Іредентистська держава може переслідувати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дві мети, яким відповідають два типи іредентизму: </w:t>
      </w:r>
      <w:r w:rsidRPr="0007268A">
        <w:rPr>
          <w:rFonts w:ascii="Times New Roman" w:eastAsia="Times New Roman,Italic" w:hAnsi="Times New Roman" w:cs="Times New Roman"/>
          <w:b/>
          <w:i/>
          <w:iCs/>
          <w:sz w:val="28"/>
          <w:szCs w:val="28"/>
          <w:lang w:val="uk-UA"/>
        </w:rPr>
        <w:t>етнічний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07268A">
        <w:rPr>
          <w:rFonts w:ascii="Times New Roman" w:eastAsia="Times New Roman,Italic" w:hAnsi="Times New Roman" w:cs="Times New Roman"/>
          <w:b/>
          <w:i/>
          <w:iCs/>
          <w:sz w:val="28"/>
          <w:szCs w:val="28"/>
          <w:lang w:val="uk-UA"/>
        </w:rPr>
        <w:t>історичний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Pr="0007268A">
        <w:rPr>
          <w:rFonts w:ascii="Times New Roman" w:hAnsi="Times New Roman" w:cs="Times New Roman"/>
          <w:b/>
          <w:sz w:val="28"/>
          <w:szCs w:val="28"/>
          <w:lang w:val="uk-UA"/>
        </w:rPr>
        <w:t>етнічного іредентизму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є віднов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лення «Великої Батьківщини», що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передбачає «збирання» представників д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еякого етносу з метою створення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етнічно гомогенної держави. Цей вид іре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дентизму реалізується переважно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через пасивні іредентистські вимоги 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512A">
        <w:rPr>
          <w:rFonts w:ascii="Times New Roman" w:hAnsi="Times New Roman" w:cs="Times New Roman"/>
          <w:sz w:val="28"/>
          <w:szCs w:val="28"/>
          <w:lang w:val="uk-UA"/>
        </w:rPr>
        <w:t>артикулювання</w:t>
      </w:r>
      <w:proofErr w:type="spellEnd"/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зацікавленості у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відокремленні тільки представниками розділеного народу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68A">
        <w:rPr>
          <w:rFonts w:ascii="Times New Roman" w:hAnsi="Times New Roman" w:cs="Times New Roman"/>
          <w:b/>
          <w:sz w:val="28"/>
          <w:szCs w:val="28"/>
          <w:lang w:val="uk-UA"/>
        </w:rPr>
        <w:t>Історичний іредентизм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держави на конкретній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території, рідше – на основі держави, яку переважно або повністю представляє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конкретна етнічна група. Передбачаєть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ся «Відновлення Батьківщини» як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відновлення цілісності території історичного проживання деякої етнічної групи,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порушеної об’єктивними обставинами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. Засобами реалізації є активні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іредентистські вимоги або послі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довне вираження іредентистської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зацікавленості елітою, яка представляє 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етнонаціональну групу, і вимоги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змінити існуючий статус території істори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чного проживання. Ще одна група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засобів представлена іредентистським напрямом зовнішньої політики держави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або декларуванням відповідних принцип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ів керівництвом іредентистської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держави</w:t>
      </w:r>
    </w:p>
    <w:p w:rsidR="00C86F65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За характером відносин між суб’єктами іредентизму ві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н може бути </w:t>
      </w:r>
      <w:r w:rsidRPr="0007268A">
        <w:rPr>
          <w:rFonts w:ascii="Times New Roman" w:eastAsia="Times New Roman,Italic" w:hAnsi="Times New Roman" w:cs="Times New Roman"/>
          <w:b/>
          <w:i/>
          <w:iCs/>
          <w:sz w:val="28"/>
          <w:szCs w:val="28"/>
          <w:lang w:val="uk-UA"/>
        </w:rPr>
        <w:t>однобічним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07268A">
        <w:rPr>
          <w:rFonts w:ascii="Times New Roman" w:eastAsia="Times New Roman,Italic" w:hAnsi="Times New Roman" w:cs="Times New Roman"/>
          <w:b/>
          <w:i/>
          <w:iCs/>
          <w:sz w:val="28"/>
          <w:szCs w:val="28"/>
          <w:lang w:val="uk-UA"/>
        </w:rPr>
        <w:t>взаємним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. Мова йде про р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івень підтримки іредентистських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прагнень з бок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у усіх груп розділеного народу. 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За метою і, відповідно, характер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ом дій, який приписується іншими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політичними акторами суб’єктам іредентизму, він може класифіку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ватися як </w:t>
      </w:r>
      <w:r w:rsidRPr="00C86F65">
        <w:rPr>
          <w:rFonts w:ascii="Times New Roman" w:eastAsia="Times New Roman,Italic" w:hAnsi="Times New Roman" w:cs="Times New Roman"/>
          <w:b/>
          <w:i/>
          <w:iCs/>
          <w:sz w:val="28"/>
          <w:szCs w:val="28"/>
          <w:lang w:val="uk-UA"/>
        </w:rPr>
        <w:t>сепаратистський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C86F65">
        <w:rPr>
          <w:rFonts w:ascii="Times New Roman" w:eastAsia="Times New Roman,Italic" w:hAnsi="Times New Roman" w:cs="Times New Roman"/>
          <w:b/>
          <w:i/>
          <w:iCs/>
          <w:sz w:val="28"/>
          <w:szCs w:val="28"/>
          <w:lang w:val="uk-UA"/>
        </w:rPr>
        <w:t>експансіоністський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. Іредентизм, ініційований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меншиною-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іредентою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>, має характер сеп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аратистського руху, який владою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поліетнічної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держави розцінюється як де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структивне явище і буде всіляко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припинятися за допомогою жорстких заходів. Експансіоністський іредентизм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представляє собою політичний курс національної держави, яка прагне зібрати в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своїх межах усі споріднені групи разом з територіями їх проживання.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За змістом вимог і наявністю об’єктивних 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підстав для реалізації політики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іредентизму варто розрізняти 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етнотериторіальний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>територіальний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різновиди.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Етнотериторіальний іредентизм передбач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ає приєднання частини території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сусідніх держав разом зі спорідненим населе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нням, яке там проживає і зазнає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реальних/уявних утисків з боку влади. Цей 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вид іредентизму представлений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комбінацією двох чинників – етнічного і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територіального. Але сама лише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наявність етнічних родичів ще не дає під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стави для активного втручання у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внутрішньополітичні справи іншої де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ржави, це можливе лише за умови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критичного рівня утиску політич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них, економічних і інших свобод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представників етнічних меншин. У цьому випадку цілком виправданими будуть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активні дії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lastRenderedPageBreak/>
        <w:t>щодо захисту таких груп, що може в правових рамках здійснювати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зовнішньополітичне відомство.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Натомість територіальний іреденти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зм характеризується відсутністю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етнічного чинника і є своєрідним парадоксо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м, адже проявляється тоді, коли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етнічні родичі більше не проживають на території, яку намагається приєднати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іредентистська держава, або ж їх кількість вкрай мала, але в обґрунтува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нні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іредентистської політики велику роль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відіграє пам’ять про володіння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територіями у минулому</w:t>
      </w:r>
      <w:r w:rsidR="00C86F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F4E14" w:rsidRPr="0035512A" w:rsidRDefault="008F4E14" w:rsidP="0035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12A" w:rsidRPr="0035512A" w:rsidRDefault="0035512A" w:rsidP="00D676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Західний та східний типи іредентизму та їх особливості.</w:t>
      </w:r>
    </w:p>
    <w:p w:rsidR="008F4E14" w:rsidRPr="0035512A" w:rsidRDefault="008F4E14" w:rsidP="00355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12A">
        <w:rPr>
          <w:rFonts w:ascii="Times New Roman" w:hAnsi="Times New Roman" w:cs="Times New Roman"/>
          <w:sz w:val="28"/>
          <w:szCs w:val="28"/>
          <w:lang w:val="uk-UA"/>
        </w:rPr>
        <w:t>Якщо ж обрати географічний критерій, з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важаючи на те, що іредентизм не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оминув жодного куточка світу, то доцільно виділяти 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західний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35512A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східний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варіанти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іредентизму. Дослідження зарубіжних вчених переконливо засвідчують, що у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східному іредентизмі більш вагому роль відіграють етнічні і релігійні чинники,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у західному – критерій </w:t>
      </w:r>
      <w:proofErr w:type="spellStart"/>
      <w:r w:rsidRPr="0035512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35512A">
        <w:rPr>
          <w:rFonts w:ascii="Times New Roman" w:hAnsi="Times New Roman" w:cs="Times New Roman"/>
          <w:sz w:val="28"/>
          <w:szCs w:val="28"/>
          <w:lang w:val="uk-UA"/>
        </w:rPr>
        <w:t xml:space="preserve"> споріднен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ості. Це також можна пов’язати з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існуванням двох типів націоналізму: західно</w:t>
      </w:r>
      <w:r w:rsidR="0035512A">
        <w:rPr>
          <w:rFonts w:ascii="Times New Roman" w:hAnsi="Times New Roman" w:cs="Times New Roman"/>
          <w:sz w:val="28"/>
          <w:szCs w:val="28"/>
          <w:lang w:val="uk-UA"/>
        </w:rPr>
        <w:t xml:space="preserve">го (громадянського) і східного </w:t>
      </w:r>
      <w:r w:rsidRPr="0035512A">
        <w:rPr>
          <w:rFonts w:ascii="Times New Roman" w:hAnsi="Times New Roman" w:cs="Times New Roman"/>
          <w:sz w:val="28"/>
          <w:szCs w:val="28"/>
          <w:lang w:val="uk-UA"/>
        </w:rPr>
        <w:t>(етнічного).</w:t>
      </w:r>
      <w:bookmarkStart w:id="0" w:name="_GoBack"/>
      <w:bookmarkEnd w:id="0"/>
    </w:p>
    <w:p w:rsidR="008F4E14" w:rsidRPr="0035512A" w:rsidRDefault="008F4E14" w:rsidP="008F4E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4E14" w:rsidRPr="0035512A" w:rsidRDefault="008F4E14" w:rsidP="008F4E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4E14" w:rsidRPr="0035512A" w:rsidRDefault="008F4E14" w:rsidP="008F4E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4E14" w:rsidRPr="0035512A" w:rsidRDefault="008F4E14" w:rsidP="008F4E14">
      <w:pPr>
        <w:rPr>
          <w:lang w:val="uk-UA"/>
        </w:rPr>
      </w:pPr>
    </w:p>
    <w:sectPr w:rsidR="008F4E14" w:rsidRPr="003551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113EE"/>
    <w:multiLevelType w:val="hybridMultilevel"/>
    <w:tmpl w:val="97A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08"/>
    <w:rsid w:val="0007268A"/>
    <w:rsid w:val="00146308"/>
    <w:rsid w:val="0035512A"/>
    <w:rsid w:val="007542A3"/>
    <w:rsid w:val="008F4E14"/>
    <w:rsid w:val="00C86F65"/>
    <w:rsid w:val="00D6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8433"/>
  <w15:chartTrackingRefBased/>
  <w15:docId w15:val="{3CFFB7D7-C322-4A20-92DD-05BE93B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2024-03-21T18:43:00Z</dcterms:created>
  <dcterms:modified xsi:type="dcterms:W3CDTF">2024-03-22T09:43:00Z</dcterms:modified>
</cp:coreProperties>
</file>