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88" w:rsidRPr="00C607EC" w:rsidRDefault="001450EB" w:rsidP="00C607E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ЛАБОРАТОРНА РОБОТА № 2</w:t>
      </w:r>
    </w:p>
    <w:p w:rsidR="001450EB" w:rsidRPr="001450EB" w:rsidRDefault="001450EB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450EB">
        <w:rPr>
          <w:rStyle w:val="Bodytext143"/>
          <w:bCs w:val="0"/>
          <w:sz w:val="28"/>
          <w:szCs w:val="28"/>
          <w:lang w:eastAsia="uk-UA"/>
        </w:rPr>
        <w:t>РОЗРАХУНОК РІЧНОЇ ВИРОБНИЧОЇ ПРОГРАМИ ТА ОБ'ЄМУ РОБІТ З</w:t>
      </w:r>
      <w:r w:rsidRPr="001450EB">
        <w:rPr>
          <w:rStyle w:val="Bodytext142"/>
          <w:bCs w:val="0"/>
          <w:sz w:val="28"/>
          <w:szCs w:val="28"/>
          <w:lang w:eastAsia="uk-UA"/>
        </w:rPr>
        <w:t xml:space="preserve"> </w:t>
      </w:r>
      <w:r w:rsidRPr="001450EB">
        <w:rPr>
          <w:rStyle w:val="Bodytext143"/>
          <w:bCs w:val="0"/>
          <w:sz w:val="28"/>
          <w:szCs w:val="28"/>
          <w:lang w:eastAsia="uk-UA"/>
        </w:rPr>
        <w:t>ТЕХНІЧНОГО ОБСЛУГОВУ</w:t>
      </w:r>
      <w:r w:rsidR="0079282D">
        <w:rPr>
          <w:rStyle w:val="Bodytext143"/>
          <w:bCs w:val="0"/>
          <w:sz w:val="28"/>
          <w:szCs w:val="28"/>
          <w:lang w:eastAsia="uk-UA"/>
        </w:rPr>
        <w:t>ВАННЯ ТА РЕМОНТУ РУХОМОГО СКЛ</w:t>
      </w:r>
      <w:r w:rsidR="001744FC">
        <w:rPr>
          <w:rStyle w:val="Bodytext143"/>
          <w:bCs w:val="0"/>
          <w:sz w:val="28"/>
          <w:szCs w:val="28"/>
          <w:lang w:eastAsia="uk-UA"/>
        </w:rPr>
        <w:t>АДУ</w:t>
      </w:r>
      <w:bookmarkStart w:id="0" w:name="_GoBack"/>
      <w:bookmarkEnd w:id="0"/>
    </w:p>
    <w:p w:rsidR="00612488" w:rsidRPr="001450EB" w:rsidRDefault="00612488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Мета роботи.</w:t>
      </w:r>
      <w:r w:rsidR="00EE6740"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1450EB"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2E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авчитись розраховувати річну виробничу програму</w:t>
      </w:r>
      <w:r w:rsidR="001450EB"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ТО та ПР рухомого складу автотранспортних підприємств.</w:t>
      </w:r>
    </w:p>
    <w:p w:rsidR="00612488" w:rsidRPr="00C607EC" w:rsidRDefault="00612488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Обладнання, пристрої та інструмент: </w:t>
      </w:r>
      <w:r w:rsidRPr="00C607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нормативна, навчальна та довідкова література.</w:t>
      </w:r>
    </w:p>
    <w:p w:rsidR="00612488" w:rsidRDefault="00612488" w:rsidP="00C607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теоретичні відомості</w:t>
      </w:r>
    </w:p>
    <w:p w:rsidR="002E082C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 xml:space="preserve">Виробнича програма підприємств з ТО характеризується числом технічних впливів, запланованих на певний період. План АТП по основних показниках установлюють на календарний рік. Тому виробничу програму з ТО також розраховують на рік. </w:t>
      </w:r>
    </w:p>
    <w:p w:rsid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>Виробничу програму з ТО розраховують різними методами. Великого поширення набули цикловий метод розрахунку (за цикл узято пробіг до КР) і метод розрахунку за річнім пробігом. Щоб визначити річну виробничу програму, найдоцільніше скористатися методом розрахунку за річнім пробігом.</w:t>
      </w:r>
    </w:p>
    <w:p w:rsidR="001450EB" w:rsidRPr="001450EB" w:rsidRDefault="001450EB" w:rsidP="001450EB">
      <w:pPr>
        <w:pStyle w:val="Bodytext1"/>
        <w:spacing w:after="0" w:line="36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1450E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Визначимо спочатку річний пробіг автомобілів кожної моделі, які</w:t>
      </w:r>
      <w:r w:rsidRPr="001450EB">
        <w:rPr>
          <w:rStyle w:val="Bodytext10"/>
          <w:sz w:val="28"/>
          <w:szCs w:val="28"/>
          <w:lang w:eastAsia="uk-UA"/>
        </w:rPr>
        <w:t xml:space="preserve"> </w:t>
      </w:r>
      <w:r w:rsidRPr="001450E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становлять парк, розрахований, наприклад, за формулою</w:t>
      </w:r>
    </w:p>
    <w:p w:rsidR="001450EB" w:rsidRPr="001450EB" w:rsidRDefault="001450EB" w:rsidP="001450EB">
      <w:pPr>
        <w:pStyle w:val="Bodytext81"/>
        <w:spacing w:before="0" w:line="212" w:lineRule="exact"/>
        <w:rPr>
          <w:rFonts w:ascii="Times New Roman" w:hAnsi="Times New Roman" w:cs="Times New Roman"/>
          <w:sz w:val="28"/>
          <w:szCs w:val="28"/>
        </w:rPr>
      </w:pPr>
    </w:p>
    <w:p w:rsidR="001450EB" w:rsidRPr="001450EB" w:rsidRDefault="001450EB" w:rsidP="001450EB">
      <w:pPr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68"/>
          <w:sz w:val="28"/>
          <w:szCs w:val="28"/>
        </w:rPr>
        <w:object w:dxaOrig="246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54.75pt" o:ole="">
            <v:imagedata r:id="rId5" o:title=""/>
          </v:shape>
          <o:OLEObject Type="Embed" ProgID="Equation.3" ShapeID="_x0000_i1025" DrawAspect="Content" ObjectID="_1740141224" r:id="rId6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,      </w:t>
      </w:r>
      <w:r w:rsidRPr="007928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450EB">
        <w:rPr>
          <w:rFonts w:ascii="Times New Roman" w:hAnsi="Times New Roman" w:cs="Times New Roman"/>
          <w:sz w:val="28"/>
          <w:szCs w:val="28"/>
        </w:rPr>
        <w:t xml:space="preserve">              (2.</w:t>
      </w:r>
      <w:r w:rsidRPr="0079282D">
        <w:rPr>
          <w:rFonts w:ascii="Times New Roman" w:hAnsi="Times New Roman" w:cs="Times New Roman"/>
          <w:sz w:val="28"/>
          <w:szCs w:val="28"/>
        </w:rPr>
        <w:t>1</w:t>
      </w:r>
      <w:r w:rsidRPr="001450EB">
        <w:rPr>
          <w:rFonts w:ascii="Times New Roman" w:hAnsi="Times New Roman" w:cs="Times New Roman"/>
          <w:sz w:val="28"/>
          <w:szCs w:val="28"/>
        </w:rPr>
        <w:t xml:space="preserve">)                                     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sz w:val="28"/>
          <w:szCs w:val="28"/>
        </w:rPr>
        <w:t xml:space="preserve">де </w:t>
      </w:r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k</w:t>
      </w:r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облікова кількість автомобілів і-ї моделі;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0EB">
        <w:rPr>
          <w:rFonts w:ascii="Times New Roman" w:hAnsi="Times New Roman" w:cs="Times New Roman"/>
          <w:sz w:val="28"/>
          <w:szCs w:val="28"/>
        </w:rPr>
        <w:t>Д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450EB">
        <w:rPr>
          <w:rFonts w:ascii="Times New Roman" w:hAnsi="Times New Roman" w:cs="Times New Roman"/>
          <w:sz w:val="28"/>
          <w:szCs w:val="28"/>
        </w:rPr>
        <w:t xml:space="preserve"> – кількість робочих днів за рік;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420" w:dyaOrig="380">
          <v:shape id="_x0000_i1026" type="#_x0000_t75" style="width:21pt;height:18.75pt" o:ole="">
            <v:imagedata r:id="rId7" o:title=""/>
          </v:shape>
          <o:OLEObject Type="Embed" ProgID="Equation.3" ShapeID="_x0000_i1026" DrawAspect="Content" ObjectID="_1740141225" r:id="rId8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середньодобовий пробіг автомобіля, км;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50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450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proofErr w:type="gramEnd"/>
      <w:r w:rsidRPr="001450EB">
        <w:rPr>
          <w:rFonts w:ascii="Times New Roman" w:hAnsi="Times New Roman" w:cs="Times New Roman"/>
          <w:sz w:val="28"/>
          <w:szCs w:val="28"/>
        </w:rPr>
        <w:t xml:space="preserve"> – кількість дні</w:t>
      </w:r>
      <w:r>
        <w:rPr>
          <w:rFonts w:ascii="Times New Roman" w:hAnsi="Times New Roman" w:cs="Times New Roman"/>
          <w:sz w:val="28"/>
          <w:szCs w:val="28"/>
        </w:rPr>
        <w:t>в простою автомобіля під час КР</w:t>
      </w:r>
      <w:r w:rsidRPr="001450EB">
        <w:rPr>
          <w:rFonts w:ascii="Times New Roman" w:hAnsi="Times New Roman" w:cs="Times New Roman"/>
          <w:sz w:val="28"/>
          <w:szCs w:val="28"/>
        </w:rPr>
        <w:t>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27" type="#_x0000_t75" style="width:12.75pt;height:15pt" o:ole="">
            <v:imagedata r:id="rId9" o:title=""/>
          </v:shape>
          <o:OLEObject Type="Embed" ProgID="Equation.3" ShapeID="_x0000_i1027" DrawAspect="Content" ObjectID="_1740141226" r:id="rId10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скоригований пробіг автомобіля до КР, км;</w:t>
      </w:r>
    </w:p>
    <w:p w:rsidR="001450EB" w:rsidRPr="0079282D" w:rsidRDefault="001450EB" w:rsidP="001450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639" w:dyaOrig="380">
          <v:shape id="_x0000_i1028" type="#_x0000_t75" style="width:32.25pt;height:18.75pt" o:ole="">
            <v:imagedata r:id="rId11" o:title=""/>
          </v:shape>
          <o:OLEObject Type="Embed" ProgID="Equation.3" ShapeID="_x0000_i1028" DrawAspect="Content" ObjectID="_1740141227" r:id="rId12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тривалість просто</w:t>
      </w:r>
      <w:r>
        <w:rPr>
          <w:rFonts w:ascii="Times New Roman" w:hAnsi="Times New Roman" w:cs="Times New Roman"/>
          <w:sz w:val="28"/>
          <w:szCs w:val="28"/>
        </w:rPr>
        <w:t>ю під час ТО і ПР (дні/1000 км)</w:t>
      </w:r>
      <w:r w:rsidRPr="001450EB">
        <w:rPr>
          <w:rFonts w:ascii="Times New Roman" w:hAnsi="Times New Roman" w:cs="Times New Roman"/>
          <w:sz w:val="28"/>
          <w:szCs w:val="28"/>
        </w:rPr>
        <w:t>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lastRenderedPageBreak/>
        <w:t>Тривалість простою автомобіля в КР включає нормативний простій автомобіля на авторемонтному заводі, а також час, витрачений на доставку, оформлення і здачу в ремонт. Якщо немає фактичних даних про час доставки і оформлення, його можна взяти таким, що дорівнює 10-20% тривалості простою в КР за нормативом.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 xml:space="preserve">Розрахунок програми при різнотипному парку виконують по групах </w:t>
      </w:r>
      <w:proofErr w:type="spellStart"/>
      <w:r w:rsidRPr="001450EB">
        <w:rPr>
          <w:color w:val="000000"/>
          <w:sz w:val="28"/>
          <w:szCs w:val="28"/>
        </w:rPr>
        <w:t>одномарочного</w:t>
      </w:r>
      <w:proofErr w:type="spellEnd"/>
      <w:r w:rsidRPr="001450EB">
        <w:rPr>
          <w:color w:val="000000"/>
          <w:sz w:val="28"/>
          <w:szCs w:val="28"/>
        </w:rPr>
        <w:t xml:space="preserve"> рухомого окладу. ТО автопоїздів звичайно здійснюють, не розчіплюючи тягач і причіп. Тому програму для автопоїздів розрахують як для цілої одиниці рухомого складу.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>Таблиця 2.1– Тривалість простою рухомого складу в ТО і ремонті</w:t>
      </w:r>
    </w:p>
    <w:tbl>
      <w:tblPr>
        <w:tblW w:w="8151" w:type="dxa"/>
        <w:tblCellSpacing w:w="0" w:type="dxa"/>
        <w:tblInd w:w="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2200"/>
        <w:gridCol w:w="1920"/>
      </w:tblGrid>
      <w:tr w:rsidR="001450EB" w:rsidRPr="001450EB" w:rsidTr="001450EB">
        <w:trPr>
          <w:tblCellSpacing w:w="0" w:type="dxa"/>
        </w:trPr>
        <w:tc>
          <w:tcPr>
            <w:tcW w:w="4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Тип рухомого складу</w:t>
            </w:r>
          </w:p>
        </w:tc>
        <w:tc>
          <w:tcPr>
            <w:tcW w:w="5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Тривалість простою, не більше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639" w:dyaOrig="380">
                <v:shape id="_x0000_i1029" type="#_x0000_t75" style="width:32.25pt;height:18.75pt" o:ole="">
                  <v:imagedata r:id="rId11" o:title=""/>
                </v:shape>
                <o:OLEObject Type="Embed" ProgID="Equation.3" ShapeID="_x0000_i1029" DrawAspect="Content" ObjectID="_1740141228" r:id="rId13"/>
              </w:object>
            </w: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в ТО і ПР, днів на 1000 км пробігу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450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1450E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в КР, днів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Автомобілі легкові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0,18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Автобуси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великого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великого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Автомобілі вантажні загального призначення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0.35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великої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5,0 до 6,0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6,0 до 8,0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великої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8,0 до 10,0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10,0 до 16,0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</w:tbl>
    <w:p w:rsidR="001450EB" w:rsidRPr="001450EB" w:rsidRDefault="001450EB" w:rsidP="001450EB">
      <w:pPr>
        <w:shd w:val="clear" w:color="auto" w:fill="FFFFFF"/>
        <w:spacing w:after="0" w:line="360" w:lineRule="auto"/>
        <w:ind w:left="136" w:right="136"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Примітки:</w:t>
      </w: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1. Тривалість простою рухомого складу в ТО і ПР враховують заміну в </w:t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процесі експлуатації агрегатів і вузлів, що виробили свій ресурс.</w:t>
      </w: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2. Коефіцієнт технічної готовності для причепів і напівпричепів слід приймати рівним коефіцієнту технічної готовності автомобілів-тягачів, з якими вони працюють.</w:t>
      </w:r>
    </w:p>
    <w:p w:rsidR="001450EB" w:rsidRPr="001450EB" w:rsidRDefault="001450EB" w:rsidP="001450EB">
      <w:pPr>
        <w:shd w:val="clear" w:color="auto" w:fill="FFFFFF"/>
        <w:spacing w:after="0" w:line="360" w:lineRule="auto"/>
        <w:ind w:left="136" w:right="136"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Річна кількість технічних впливів по кожній моделі:</w:t>
      </w:r>
    </w:p>
    <w:p w:rsidR="001450EB" w:rsidRPr="0079282D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1340" w:dyaOrig="380">
          <v:shape id="_x0000_i1030" type="#_x0000_t75" style="width:67.5pt;height:18.75pt" o:ole="">
            <v:imagedata r:id="rId14" o:title=""/>
          </v:shape>
          <o:OLEObject Type="Embed" ProgID="Equation.3" ShapeID="_x0000_i1030" DrawAspect="Content" ObjectID="_1740141229" r:id="rId15"/>
        </w:object>
      </w:r>
      <w:r w:rsidRPr="0079282D">
        <w:rPr>
          <w:rFonts w:ascii="Times New Roman" w:hAnsi="Times New Roman" w:cs="Times New Roman"/>
          <w:sz w:val="28"/>
          <w:szCs w:val="28"/>
        </w:rPr>
        <w:t>,                                                      (2.2)</w:t>
      </w:r>
    </w:p>
    <w:p w:rsidR="001450EB" w:rsidRPr="0079282D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2040" w:dyaOrig="380">
          <v:shape id="_x0000_i1031" type="#_x0000_t75" style="width:102pt;height:18.75pt" o:ole="">
            <v:imagedata r:id="rId16" o:title=""/>
          </v:shape>
          <o:OLEObject Type="Embed" ProgID="Equation.3" ShapeID="_x0000_i1031" DrawAspect="Content" ObjectID="_1740141230" r:id="rId17"/>
        </w:object>
      </w:r>
      <w:r w:rsidRPr="0079282D">
        <w:rPr>
          <w:rFonts w:ascii="Times New Roman" w:hAnsi="Times New Roman" w:cs="Times New Roman"/>
          <w:sz w:val="28"/>
          <w:szCs w:val="28"/>
        </w:rPr>
        <w:t>,                                                  (2.3)</w:t>
      </w:r>
    </w:p>
    <w:p w:rsidR="001450EB" w:rsidRPr="0079282D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2500" w:dyaOrig="380">
          <v:shape id="_x0000_i1032" type="#_x0000_t75" style="width:125.25pt;height:18.75pt" o:ole="">
            <v:imagedata r:id="rId18" o:title=""/>
          </v:shape>
          <o:OLEObject Type="Embed" ProgID="Equation.3" ShapeID="_x0000_i1032" DrawAspect="Content" ObjectID="_1740141231" r:id="rId19"/>
        </w:object>
      </w:r>
      <w:r w:rsidRPr="0079282D">
        <w:rPr>
          <w:rFonts w:ascii="Times New Roman" w:hAnsi="Times New Roman" w:cs="Times New Roman"/>
          <w:sz w:val="28"/>
          <w:szCs w:val="28"/>
        </w:rPr>
        <w:t>,                                               (2.4)</w:t>
      </w:r>
    </w:p>
    <w:p w:rsidR="001450EB" w:rsidRPr="0079282D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1400" w:dyaOrig="380">
          <v:shape id="_x0000_i1033" type="#_x0000_t75" style="width:69.75pt;height:18.75pt" o:ole="">
            <v:imagedata r:id="rId20" o:title=""/>
          </v:shape>
          <o:OLEObject Type="Embed" ProgID="Equation.3" ShapeID="_x0000_i1033" DrawAspect="Content" ObjectID="_1740141232" r:id="rId21"/>
        </w:object>
      </w:r>
      <w:r w:rsidRPr="0079282D">
        <w:rPr>
          <w:rFonts w:ascii="Times New Roman" w:hAnsi="Times New Roman" w:cs="Times New Roman"/>
          <w:sz w:val="28"/>
          <w:szCs w:val="28"/>
        </w:rPr>
        <w:t>,                                                      (2.5)</w:t>
      </w:r>
    </w:p>
    <w:p w:rsidR="001450EB" w:rsidRPr="0079282D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034" type="#_x0000_t75" style="width:46.5pt;height:18pt" o:ole="">
            <v:imagedata r:id="rId22" o:title=""/>
          </v:shape>
          <o:OLEObject Type="Embed" ProgID="Equation.3" ShapeID="_x0000_i1034" DrawAspect="Content" ObjectID="_1740141233" r:id="rId23"/>
        </w:object>
      </w:r>
      <w:r w:rsidRPr="0079282D">
        <w:rPr>
          <w:rFonts w:ascii="Times New Roman" w:hAnsi="Times New Roman" w:cs="Times New Roman"/>
          <w:sz w:val="28"/>
          <w:szCs w:val="28"/>
        </w:rPr>
        <w:t>,                                                         (2.6)</w:t>
      </w:r>
    </w:p>
    <w:p w:rsidR="001450EB" w:rsidRPr="001450EB" w:rsidRDefault="001450EB" w:rsidP="002E082C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sz w:val="28"/>
          <w:szCs w:val="28"/>
        </w:rPr>
        <w:t>Результати розрахунків кількості КР (</w:t>
      </w:r>
      <w:proofErr w:type="spellStart"/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1450EB">
        <w:rPr>
          <w:rFonts w:ascii="Times New Roman" w:hAnsi="Times New Roman" w:cs="Times New Roman"/>
          <w:sz w:val="28"/>
          <w:szCs w:val="28"/>
        </w:rPr>
        <w:t xml:space="preserve">) 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50EB">
        <w:rPr>
          <w:rFonts w:ascii="Times New Roman" w:hAnsi="Times New Roman" w:cs="Times New Roman"/>
          <w:sz w:val="28"/>
          <w:szCs w:val="28"/>
        </w:rPr>
        <w:t>-2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50EB">
        <w:rPr>
          <w:rFonts w:ascii="Times New Roman" w:hAnsi="Times New Roman" w:cs="Times New Roman"/>
          <w:sz w:val="28"/>
          <w:szCs w:val="28"/>
        </w:rPr>
        <w:t xml:space="preserve">), 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50EB">
        <w:rPr>
          <w:rFonts w:ascii="Times New Roman" w:hAnsi="Times New Roman" w:cs="Times New Roman"/>
          <w:sz w:val="28"/>
          <w:szCs w:val="28"/>
        </w:rPr>
        <w:t>-1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50EB">
        <w:rPr>
          <w:rFonts w:ascii="Times New Roman" w:hAnsi="Times New Roman" w:cs="Times New Roman"/>
          <w:sz w:val="28"/>
          <w:szCs w:val="28"/>
        </w:rPr>
        <w:t>), (ЩО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ЩО</w:t>
      </w:r>
      <w:r w:rsidRPr="001450EB">
        <w:rPr>
          <w:rFonts w:ascii="Times New Roman" w:hAnsi="Times New Roman" w:cs="Times New Roman"/>
          <w:sz w:val="28"/>
          <w:szCs w:val="28"/>
        </w:rPr>
        <w:t>) та сезонних обслуговувань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) занести у табл. 2</w:t>
      </w:r>
      <w:r w:rsidRPr="001450EB">
        <w:rPr>
          <w:rFonts w:ascii="Times New Roman" w:hAnsi="Times New Roman" w:cs="Times New Roman"/>
          <w:sz w:val="28"/>
          <w:szCs w:val="28"/>
        </w:rPr>
        <w:t>.2.</w:t>
      </w:r>
    </w:p>
    <w:p w:rsidR="001450EB" w:rsidRPr="00F73001" w:rsidRDefault="001450EB" w:rsidP="001450EB">
      <w:pPr>
        <w:pStyle w:val="Tablecaption1"/>
        <w:spacing w:line="240" w:lineRule="auto"/>
        <w:jc w:val="right"/>
        <w:rPr>
          <w:rStyle w:val="Tablecaption2"/>
          <w:sz w:val="12"/>
          <w:szCs w:val="12"/>
          <w:lang w:eastAsia="uk-UA"/>
        </w:rPr>
      </w:pPr>
    </w:p>
    <w:p w:rsidR="001450EB" w:rsidRPr="00EC2212" w:rsidRDefault="001450EB" w:rsidP="00EC2212">
      <w:pPr>
        <w:pStyle w:val="Tablecaption1"/>
        <w:spacing w:line="240" w:lineRule="auto"/>
        <w:jc w:val="center"/>
        <w:rPr>
          <w:rStyle w:val="Tablecaption2"/>
          <w:rFonts w:ascii="Times New Roman" w:hAnsi="Times New Roman" w:cs="Times New Roman"/>
          <w:sz w:val="28"/>
          <w:szCs w:val="28"/>
        </w:rPr>
      </w:pPr>
      <w:r w:rsidRPr="001450EB">
        <w:rPr>
          <w:rStyle w:val="Tablecaption2"/>
          <w:rFonts w:ascii="Times New Roman" w:hAnsi="Times New Roman" w:cs="Times New Roman"/>
          <w:sz w:val="28"/>
          <w:szCs w:val="28"/>
          <w:lang w:eastAsia="uk-UA"/>
        </w:rPr>
        <w:t xml:space="preserve">Таблиця </w:t>
      </w:r>
      <w:r w:rsidRPr="00EC2212">
        <w:rPr>
          <w:rStyle w:val="Tablecaption2"/>
          <w:rFonts w:ascii="Times New Roman" w:hAnsi="Times New Roman" w:cs="Times New Roman"/>
          <w:sz w:val="28"/>
          <w:szCs w:val="28"/>
        </w:rPr>
        <w:t>2.2</w:t>
      </w:r>
      <w:r w:rsidR="00EC2212" w:rsidRPr="00EC2212">
        <w:rPr>
          <w:rStyle w:val="Tablecaption2"/>
          <w:rFonts w:ascii="Times New Roman" w:hAnsi="Times New Roman" w:cs="Times New Roman"/>
          <w:sz w:val="28"/>
          <w:szCs w:val="28"/>
        </w:rPr>
        <w:t xml:space="preserve"> - </w:t>
      </w:r>
      <w:r w:rsidR="00EC2212" w:rsidRPr="001450EB">
        <w:rPr>
          <w:rFonts w:ascii="Times New Roman" w:hAnsi="Times New Roman" w:cs="Times New Roman"/>
          <w:sz w:val="28"/>
          <w:szCs w:val="28"/>
        </w:rPr>
        <w:t>Результати розрахунків кількості КР (</w:t>
      </w:r>
      <w:proofErr w:type="spellStart"/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="00EC2212" w:rsidRPr="001450EB">
        <w:rPr>
          <w:rFonts w:ascii="Times New Roman" w:hAnsi="Times New Roman" w:cs="Times New Roman"/>
          <w:sz w:val="28"/>
          <w:szCs w:val="28"/>
        </w:rPr>
        <w:t xml:space="preserve">) 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2212" w:rsidRPr="001450EB">
        <w:rPr>
          <w:rFonts w:ascii="Times New Roman" w:hAnsi="Times New Roman" w:cs="Times New Roman"/>
          <w:sz w:val="28"/>
          <w:szCs w:val="28"/>
        </w:rPr>
        <w:t>-2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C2212" w:rsidRPr="001450EB">
        <w:rPr>
          <w:rFonts w:ascii="Times New Roman" w:hAnsi="Times New Roman" w:cs="Times New Roman"/>
          <w:sz w:val="28"/>
          <w:szCs w:val="28"/>
        </w:rPr>
        <w:t xml:space="preserve">), 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2212" w:rsidRPr="001450EB">
        <w:rPr>
          <w:rFonts w:ascii="Times New Roman" w:hAnsi="Times New Roman" w:cs="Times New Roman"/>
          <w:sz w:val="28"/>
          <w:szCs w:val="28"/>
        </w:rPr>
        <w:t>-1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C2212" w:rsidRPr="001450EB">
        <w:rPr>
          <w:rFonts w:ascii="Times New Roman" w:hAnsi="Times New Roman" w:cs="Times New Roman"/>
          <w:sz w:val="28"/>
          <w:szCs w:val="28"/>
        </w:rPr>
        <w:t>), (ЩО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ЩО</w:t>
      </w:r>
      <w:r w:rsidR="00EC2212" w:rsidRPr="001450EB">
        <w:rPr>
          <w:rFonts w:ascii="Times New Roman" w:hAnsi="Times New Roman" w:cs="Times New Roman"/>
          <w:sz w:val="28"/>
          <w:szCs w:val="28"/>
        </w:rPr>
        <w:t>) та сезонних обслуговувань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EC2212">
        <w:rPr>
          <w:rFonts w:ascii="Times New Roman" w:hAnsi="Times New Roman" w:cs="Times New Roman"/>
          <w:sz w:val="28"/>
          <w:szCs w:val="28"/>
        </w:rPr>
        <w:t>)</w:t>
      </w:r>
    </w:p>
    <w:p w:rsidR="001450EB" w:rsidRPr="00EC2212" w:rsidRDefault="001450EB" w:rsidP="001450EB">
      <w:pPr>
        <w:pStyle w:val="Tablecaption1"/>
        <w:spacing w:line="240" w:lineRule="auto"/>
        <w:jc w:val="right"/>
        <w:rPr>
          <w:rStyle w:val="Tablecaption2"/>
          <w:sz w:val="12"/>
          <w:szCs w:val="12"/>
        </w:rPr>
      </w:pPr>
    </w:p>
    <w:tbl>
      <w:tblPr>
        <w:tblW w:w="68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024"/>
        <w:gridCol w:w="1021"/>
        <w:gridCol w:w="1014"/>
        <w:gridCol w:w="1021"/>
        <w:gridCol w:w="1024"/>
      </w:tblGrid>
      <w:tr w:rsidR="001450EB" w:rsidRPr="001450EB" w:rsidTr="001450EB">
        <w:trPr>
          <w:trHeight w:val="26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Модель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Річна кількість ТО і ПР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0EB" w:rsidRPr="001450EB" w:rsidTr="001450EB">
        <w:trPr>
          <w:trHeight w:val="24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автомобіля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0EB" w:rsidRPr="001450EB" w:rsidTr="001450EB">
        <w:trPr>
          <w:trHeight w:val="25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val="en-US"/>
              </w:rPr>
              <w:t>N</w:t>
            </w:r>
            <w:proofErr w:type="spellStart"/>
            <w:r w:rsidRPr="001450EB">
              <w:rPr>
                <w:rStyle w:val="Bodytext866"/>
                <w:sz w:val="28"/>
                <w:szCs w:val="28"/>
                <w:vertAlign w:val="subscript"/>
                <w:lang w:val="ru-RU"/>
              </w:rPr>
              <w:t>кр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  <w:lang w:eastAsia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val="ru-RU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450EB">
              <w:rPr>
                <w:rStyle w:val="Bodytext866"/>
                <w:sz w:val="28"/>
                <w:szCs w:val="28"/>
                <w:lang w:val="ru-RU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</w:rPr>
              <w:t>що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</w:rPr>
              <w:t>1</w:t>
            </w:r>
          </w:p>
        </w:tc>
      </w:tr>
      <w:tr w:rsidR="001450EB" w:rsidRPr="001450EB" w:rsidTr="001450EB"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rPr>
          <w:trHeight w:val="24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rPr>
          <w:trHeight w:val="24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rPr>
          <w:trHeight w:val="26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rPr>
          <w:trHeight w:val="26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0EB" w:rsidRPr="00F73001" w:rsidRDefault="001450EB" w:rsidP="001450EB">
      <w:pPr>
        <w:ind w:firstLine="340"/>
        <w:jc w:val="both"/>
        <w:rPr>
          <w:sz w:val="20"/>
          <w:szCs w:val="20"/>
        </w:rPr>
      </w:pP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sz w:val="28"/>
          <w:szCs w:val="28"/>
        </w:rPr>
        <w:t>Річна трудомісткість сезонного, другого, першого та щоденного ТО і ПР визначиться за формулами: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35" type="#_x0000_t75" style="width:65.25pt;height:18pt" o:ole="">
            <v:imagedata r:id="rId24" o:title=""/>
          </v:shape>
          <o:OLEObject Type="Embed" ProgID="Equation.3" ShapeID="_x0000_i1035" DrawAspect="Content" ObjectID="_1740141234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221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7</w:t>
      </w:r>
      <w:r w:rsidRPr="0079282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036" type="#_x0000_t75" style="width:46.5pt;height:17.25pt" o:ole="">
            <v:imagedata r:id="rId26" o:title=""/>
          </v:shape>
          <o:OLEObject Type="Embed" ProgID="Equation.3" ShapeID="_x0000_i1036" DrawAspect="Content" ObjectID="_1740141235" r:id="rId27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8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0"/>
          <w:sz w:val="28"/>
          <w:szCs w:val="28"/>
        </w:rPr>
        <w:object w:dxaOrig="859" w:dyaOrig="340">
          <v:shape id="_x0000_i1037" type="#_x0000_t75" style="width:42.75pt;height:17.25pt" o:ole="">
            <v:imagedata r:id="rId28" o:title=""/>
          </v:shape>
          <o:OLEObject Type="Embed" ProgID="Equation.3" ShapeID="_x0000_i1037" DrawAspect="Content" ObjectID="_1740141236" r:id="rId29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9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4"/>
          <w:sz w:val="28"/>
          <w:szCs w:val="28"/>
        </w:rPr>
        <w:object w:dxaOrig="1500" w:dyaOrig="380">
          <v:shape id="_x0000_i1038" type="#_x0000_t75" style="width:75pt;height:18.75pt" o:ole="">
            <v:imagedata r:id="rId30" o:title=""/>
          </v:shape>
          <o:OLEObject Type="Embed" ProgID="Equation.3" ShapeID="_x0000_i1038" DrawAspect="Content" ObjectID="_1740141237" r:id="rId31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10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4"/>
          <w:sz w:val="28"/>
          <w:szCs w:val="28"/>
        </w:rPr>
        <w:object w:dxaOrig="1939" w:dyaOrig="380">
          <v:shape id="_x0000_i1039" type="#_x0000_t75" style="width:97.5pt;height:18.75pt" o:ole="">
            <v:imagedata r:id="rId32" o:title=""/>
          </v:shape>
          <o:OLEObject Type="Embed" ProgID="Equation.3" ShapeID="_x0000_i1039" DrawAspect="Content" ObjectID="_1740141238" r:id="rId33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11</w:t>
      </w:r>
      <w:r w:rsidR="00EC2212" w:rsidRPr="0079282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sz w:val="28"/>
          <w:szCs w:val="28"/>
        </w:rPr>
        <w:t xml:space="preserve">де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6046">
        <w:rPr>
          <w:rFonts w:ascii="Times New Roman" w:hAnsi="Times New Roman" w:cs="Times New Roman"/>
          <w:sz w:val="28"/>
          <w:szCs w:val="28"/>
        </w:rPr>
        <w:t xml:space="preserve"> – частина трудомісткості ТО-2, яка припадає на одне сезонне обслуговування (для природно-кліматичних умов України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96046">
        <w:rPr>
          <w:rFonts w:ascii="Times New Roman" w:hAnsi="Times New Roman" w:cs="Times New Roman"/>
          <w:sz w:val="28"/>
          <w:szCs w:val="28"/>
        </w:rPr>
        <w:t>=0,2);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046">
        <w:rPr>
          <w:rFonts w:ascii="Times New Roman" w:hAnsi="Times New Roman" w:cs="Times New Roman"/>
          <w:i/>
          <w:sz w:val="28"/>
          <w:szCs w:val="28"/>
        </w:rPr>
        <w:t>А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49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>– облікова кількість автомобілів за моделями;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що</w:t>
      </w:r>
      <w:proofErr w:type="gramEnd"/>
      <w:r w:rsidRPr="00496046">
        <w:rPr>
          <w:rFonts w:ascii="Times New Roman" w:hAnsi="Times New Roman" w:cs="Times New Roman"/>
          <w:i/>
          <w:sz w:val="28"/>
          <w:szCs w:val="28"/>
        </w:rPr>
        <w:t>,</w:t>
      </w:r>
      <w:r w:rsidRPr="00496046">
        <w:rPr>
          <w:rFonts w:ascii="Times New Roman" w:hAnsi="Times New Roman" w:cs="Times New Roman"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496046">
        <w:rPr>
          <w:rFonts w:ascii="Times New Roman" w:hAnsi="Times New Roman" w:cs="Times New Roman"/>
          <w:sz w:val="28"/>
          <w:szCs w:val="28"/>
        </w:rPr>
        <w:t xml:space="preserve">,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C2212">
        <w:rPr>
          <w:rFonts w:ascii="Times New Roman" w:hAnsi="Times New Roman" w:cs="Times New Roman"/>
          <w:sz w:val="28"/>
          <w:szCs w:val="28"/>
        </w:rPr>
        <w:t>з</w:t>
      </w:r>
      <w:r w:rsidR="00EC2212" w:rsidRPr="00496046">
        <w:rPr>
          <w:rFonts w:ascii="Times New Roman" w:hAnsi="Times New Roman" w:cs="Times New Roman"/>
          <w:sz w:val="28"/>
          <w:szCs w:val="28"/>
        </w:rPr>
        <w:t>коригований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 xml:space="preserve"> норматив трудомісткості відповідно: щоденного, першого та другого технічних обслуговувань, люд.-год;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пр</w:t>
      </w:r>
      <w:proofErr w:type="spellEnd"/>
      <w:proofErr w:type="gramEnd"/>
      <w:r w:rsidRPr="00496046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96046">
        <w:rPr>
          <w:rFonts w:ascii="Times New Roman" w:hAnsi="Times New Roman" w:cs="Times New Roman"/>
          <w:sz w:val="28"/>
          <w:szCs w:val="28"/>
        </w:rPr>
        <w:t>зкоригований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 xml:space="preserve"> норматив трудомісткості</w:t>
      </w:r>
      <w:r w:rsidRPr="0049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 xml:space="preserve">поточного ремонту, люд.-год; / </w:t>
      </w:r>
      <w:smartTag w:uri="urn:schemas-microsoft-com:office:smarttags" w:element="metricconverter">
        <w:smartTagPr>
          <w:attr w:name="ProductID" w:val="1000 км"/>
        </w:smartTagPr>
        <w:r w:rsidRPr="00496046">
          <w:rPr>
            <w:rFonts w:ascii="Times New Roman" w:hAnsi="Times New Roman" w:cs="Times New Roman"/>
            <w:sz w:val="28"/>
            <w:szCs w:val="28"/>
          </w:rPr>
          <w:t>1000 км</w:t>
        </w:r>
      </w:smartTag>
      <w:r w:rsidRPr="00496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046" w:rsidRPr="00EC2212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046">
        <w:rPr>
          <w:rFonts w:ascii="Times New Roman" w:hAnsi="Times New Roman" w:cs="Times New Roman"/>
          <w:sz w:val="28"/>
          <w:szCs w:val="28"/>
        </w:rPr>
        <w:t xml:space="preserve">Результати розрахунків трудомісткості </w:t>
      </w:r>
      <w:r w:rsidR="00EC2212">
        <w:rPr>
          <w:rFonts w:ascii="Times New Roman" w:hAnsi="Times New Roman" w:cs="Times New Roman"/>
          <w:sz w:val="28"/>
          <w:szCs w:val="28"/>
        </w:rPr>
        <w:t xml:space="preserve">занести </w:t>
      </w:r>
      <w:r w:rsidRPr="00496046">
        <w:rPr>
          <w:rFonts w:ascii="Times New Roman" w:hAnsi="Times New Roman" w:cs="Times New Roman"/>
          <w:sz w:val="28"/>
          <w:szCs w:val="28"/>
        </w:rPr>
        <w:t xml:space="preserve">у табл. </w:t>
      </w:r>
      <w:r w:rsidR="00F407A7">
        <w:rPr>
          <w:rFonts w:ascii="Times New Roman" w:hAnsi="Times New Roman" w:cs="Times New Roman"/>
          <w:sz w:val="28"/>
          <w:szCs w:val="28"/>
        </w:rPr>
        <w:t>2</w:t>
      </w:r>
      <w:r w:rsidRPr="00496046">
        <w:rPr>
          <w:rFonts w:ascii="Times New Roman" w:hAnsi="Times New Roman" w:cs="Times New Roman"/>
          <w:sz w:val="28"/>
          <w:szCs w:val="28"/>
        </w:rPr>
        <w:t>.3.</w:t>
      </w:r>
    </w:p>
    <w:p w:rsidR="00496046" w:rsidRPr="00496046" w:rsidRDefault="00496046" w:rsidP="00EC2212">
      <w:pPr>
        <w:pStyle w:val="Tablecaption1"/>
        <w:spacing w:line="360" w:lineRule="auto"/>
        <w:jc w:val="center"/>
        <w:rPr>
          <w:rStyle w:val="Tablecaption2"/>
          <w:rFonts w:ascii="Times New Roman" w:hAnsi="Times New Roman" w:cs="Times New Roman"/>
          <w:sz w:val="28"/>
          <w:szCs w:val="28"/>
          <w:lang w:val="en-US"/>
        </w:rPr>
      </w:pPr>
      <w:r w:rsidRPr="00496046">
        <w:rPr>
          <w:rStyle w:val="Tablecaption2"/>
          <w:rFonts w:ascii="Times New Roman" w:hAnsi="Times New Roman" w:cs="Times New Roman"/>
          <w:sz w:val="28"/>
          <w:szCs w:val="28"/>
          <w:lang w:eastAsia="uk-UA"/>
        </w:rPr>
        <w:t xml:space="preserve">Таблиця </w:t>
      </w:r>
      <w:r w:rsidR="00EC2212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>2</w:t>
      </w:r>
      <w:r w:rsidRPr="00496046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>.3</w:t>
      </w:r>
      <w:r w:rsidR="00EC2212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EC2212" w:rsidRPr="00496046">
        <w:rPr>
          <w:rFonts w:ascii="Times New Roman" w:hAnsi="Times New Roman" w:cs="Times New Roman"/>
          <w:sz w:val="28"/>
          <w:szCs w:val="28"/>
        </w:rPr>
        <w:t>Результати розрахунків трудомісткості</w:t>
      </w:r>
    </w:p>
    <w:p w:rsidR="00496046" w:rsidRPr="00496046" w:rsidRDefault="00496046" w:rsidP="00496046">
      <w:pPr>
        <w:pStyle w:val="Tablecaption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66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023"/>
        <w:gridCol w:w="1019"/>
        <w:gridCol w:w="1023"/>
        <w:gridCol w:w="1019"/>
        <w:gridCol w:w="1029"/>
      </w:tblGrid>
      <w:tr w:rsidR="00496046" w:rsidRPr="00496046" w:rsidTr="00EC2212">
        <w:trPr>
          <w:trHeight w:val="232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>Модель</w:t>
            </w:r>
            <w:r w:rsidRPr="00496046">
              <w:rPr>
                <w:rStyle w:val="Bodytext861"/>
                <w:sz w:val="28"/>
                <w:szCs w:val="28"/>
                <w:lang w:eastAsia="uk-UA"/>
              </w:rPr>
              <w:t xml:space="preserve"> </w:t>
            </w:r>
            <w:r w:rsidRPr="00496046">
              <w:rPr>
                <w:rStyle w:val="Bodytext862"/>
                <w:sz w:val="28"/>
                <w:szCs w:val="28"/>
                <w:lang w:eastAsia="uk-UA"/>
              </w:rPr>
              <w:t>автомобіля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>Трудомісткість робіт по парку, люд.-год</w:t>
            </w:r>
          </w:p>
        </w:tc>
      </w:tr>
      <w:tr w:rsidR="00496046" w:rsidRPr="00496046" w:rsidTr="00EC2212">
        <w:trPr>
          <w:trHeight w:val="232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046">
              <w:rPr>
                <w:rStyle w:val="Bodytext205"/>
                <w:sz w:val="28"/>
                <w:szCs w:val="28"/>
                <w:lang w:val="uk-UA" w:eastAsia="uk-UA"/>
              </w:rPr>
              <w:t>Т</w:t>
            </w:r>
            <w:r w:rsidRPr="00496046">
              <w:rPr>
                <w:rStyle w:val="Bodytext205"/>
                <w:sz w:val="28"/>
                <w:szCs w:val="28"/>
                <w:vertAlign w:val="subscript"/>
                <w:lang w:val="uk-UA" w:eastAsia="uk-UA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496046">
              <w:rPr>
                <w:rStyle w:val="Bodytext205"/>
                <w:sz w:val="28"/>
                <w:szCs w:val="28"/>
                <w:lang w:val="uk-UA" w:eastAsia="uk-UA"/>
              </w:rPr>
              <w:t>Т</w:t>
            </w:r>
            <w:r w:rsidRPr="00496046">
              <w:rPr>
                <w:rStyle w:val="Bodytext205"/>
                <w:sz w:val="28"/>
                <w:szCs w:val="28"/>
                <w:vertAlign w:val="subscript"/>
                <w:lang w:val="uk-UA" w:eastAsia="uk-UA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496046">
              <w:rPr>
                <w:rStyle w:val="Bodytext862"/>
                <w:sz w:val="28"/>
                <w:szCs w:val="28"/>
                <w:lang w:eastAsia="uk-UA"/>
              </w:rPr>
              <w:t>Т</w:t>
            </w:r>
            <w:r w:rsidRPr="00496046">
              <w:rPr>
                <w:rStyle w:val="Bodytext862"/>
                <w:sz w:val="28"/>
                <w:szCs w:val="28"/>
                <w:vertAlign w:val="subscript"/>
                <w:lang w:eastAsia="uk-UA"/>
              </w:rPr>
              <w:t>щ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7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96046">
              <w:rPr>
                <w:rStyle w:val="Bodytext860"/>
                <w:b w:val="0"/>
                <w:sz w:val="28"/>
                <w:szCs w:val="28"/>
                <w:lang w:eastAsia="uk-UA"/>
              </w:rPr>
              <w:t>Т</w:t>
            </w:r>
            <w:r w:rsidRPr="00496046">
              <w:rPr>
                <w:rStyle w:val="Bodytext860"/>
                <w:b w:val="0"/>
                <w:sz w:val="28"/>
                <w:szCs w:val="28"/>
                <w:vertAlign w:val="subscript"/>
                <w:lang w:val="uk-UA" w:eastAsia="uk-UA"/>
              </w:rPr>
              <w:t>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7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96046">
              <w:rPr>
                <w:rStyle w:val="Bodytext862"/>
                <w:b w:val="0"/>
                <w:sz w:val="28"/>
                <w:szCs w:val="28"/>
                <w:lang w:eastAsia="uk-UA"/>
              </w:rPr>
              <w:t>Т</w:t>
            </w:r>
            <w:proofErr w:type="spellStart"/>
            <w:r w:rsidRPr="00496046">
              <w:rPr>
                <w:rStyle w:val="Bodytext273"/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пр</w:t>
            </w:r>
            <w:proofErr w:type="spellEnd"/>
          </w:p>
        </w:tc>
      </w:tr>
      <w:tr w:rsidR="00496046" w:rsidRPr="00496046" w:rsidTr="00EC2212">
        <w:trPr>
          <w:trHeight w:val="22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rPr>
          <w:trHeight w:val="21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Трудомісткість діагностування входить до трудомісткості ТО і ПР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за видами робіт.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862"/>
          <w:sz w:val="28"/>
          <w:szCs w:val="28"/>
          <w:lang w:eastAsia="uk-UA"/>
        </w:rPr>
        <w:t>Трудомісткість контрольно-діагностичних робіт ТО-1:</w:t>
      </w:r>
    </w:p>
    <w:p w:rsidR="00496046" w:rsidRPr="00EC2212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д1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r w:rsidRPr="00496046">
        <w:rPr>
          <w:rStyle w:val="Bodytext720"/>
          <w:i/>
          <w:sz w:val="28"/>
          <w:szCs w:val="28"/>
          <w:lang w:eastAsia="uk-UA"/>
        </w:rPr>
        <w:t xml:space="preserve">= </w:t>
      </w:r>
      <w:r w:rsidRPr="00496046">
        <w:rPr>
          <w:rStyle w:val="Bodytext721"/>
          <w:i/>
          <w:sz w:val="28"/>
          <w:szCs w:val="28"/>
          <w:lang w:eastAsia="uk-UA"/>
        </w:rPr>
        <w:t>m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2</w:t>
      </w:r>
      <w:r w:rsidRPr="00496046">
        <w:rPr>
          <w:rStyle w:val="Bodytext721"/>
          <w:i/>
          <w:sz w:val="28"/>
          <w:szCs w:val="28"/>
          <w:lang w:eastAsia="uk-UA"/>
        </w:rPr>
        <w:t xml:space="preserve"> 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1</w:t>
      </w:r>
      <w:r w:rsidR="00EC2212">
        <w:rPr>
          <w:rStyle w:val="Bodytext721"/>
          <w:i/>
          <w:sz w:val="28"/>
          <w:szCs w:val="28"/>
          <w:vertAlign w:val="subscript"/>
          <w:lang w:eastAsia="uk-UA"/>
        </w:rPr>
        <w:t xml:space="preserve"> </w: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</w:t>
      </w:r>
      <w:r w:rsidR="00EC2212" w:rsidRPr="0079282D">
        <w:rPr>
          <w:rFonts w:ascii="Times New Roman" w:hAnsi="Times New Roman" w:cs="Times New Roman"/>
          <w:sz w:val="28"/>
          <w:szCs w:val="28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12</w:t>
      </w:r>
      <w:r w:rsidR="00EC2212" w:rsidRPr="0079282D">
        <w:rPr>
          <w:rFonts w:ascii="Times New Roman" w:hAnsi="Times New Roman" w:cs="Times New Roman"/>
          <w:sz w:val="28"/>
          <w:szCs w:val="28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496046">
        <w:rPr>
          <w:rStyle w:val="Bodytext12"/>
          <w:rFonts w:ascii="Times New Roman" w:hAnsi="Times New Roman" w:cs="Times New Roman"/>
          <w:i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 xml:space="preserve">2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– частина трудомісткості ТО-1, яка припадає на загальні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діагностичні роботи (легкові автомобілі 15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автобуси 8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вантажні автомобілі загального призначення 10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автомобілі-самоскиди 8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причепи і напівпричепи 4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Style w:val="Bodytext862"/>
          <w:sz w:val="28"/>
          <w:szCs w:val="28"/>
          <w:lang w:eastAsia="uk-UA"/>
        </w:rPr>
      </w:pPr>
      <w:r w:rsidRPr="00496046">
        <w:rPr>
          <w:rStyle w:val="Bodytext862"/>
          <w:sz w:val="28"/>
          <w:szCs w:val="28"/>
          <w:lang w:eastAsia="uk-UA"/>
        </w:rPr>
        <w:t>Трудомісткість контрольно-діагностичних робіт ТО-2</w:t>
      </w:r>
    </w:p>
    <w:p w:rsidR="00496046" w:rsidRPr="00496046" w:rsidRDefault="00496046" w:rsidP="00365A86">
      <w:pPr>
        <w:pStyle w:val="Bodytext71"/>
        <w:spacing w:before="0"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д2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r w:rsidRPr="00496046">
        <w:rPr>
          <w:rStyle w:val="Bodytext720"/>
          <w:i/>
          <w:sz w:val="28"/>
          <w:szCs w:val="28"/>
          <w:lang w:eastAsia="uk-UA"/>
        </w:rPr>
        <w:t xml:space="preserve">= </w:t>
      </w:r>
      <w:r w:rsidRPr="00496046">
        <w:rPr>
          <w:rStyle w:val="Bodytext721"/>
          <w:i/>
          <w:sz w:val="28"/>
          <w:szCs w:val="28"/>
          <w:lang w:eastAsia="uk-UA"/>
        </w:rPr>
        <w:t>m</w:t>
      </w:r>
      <w:r w:rsidRPr="00496046">
        <w:rPr>
          <w:rStyle w:val="Bodytext720"/>
          <w:i/>
          <w:sz w:val="28"/>
          <w:szCs w:val="28"/>
          <w:vertAlign w:val="subscript"/>
          <w:lang w:eastAsia="uk-UA"/>
        </w:rPr>
        <w:t>3</w:t>
      </w:r>
      <w:r w:rsidRPr="00496046">
        <w:rPr>
          <w:rStyle w:val="Bodytext720"/>
          <w:i/>
          <w:sz w:val="28"/>
          <w:szCs w:val="28"/>
          <w:lang w:eastAsia="uk-UA"/>
        </w:rPr>
        <w:t xml:space="preserve"> </w:t>
      </w: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2</w:t>
      </w:r>
      <w:r w:rsidR="00365A86">
        <w:rPr>
          <w:rFonts w:ascii="Times New Roman" w:hAnsi="Times New Roman" w:cs="Times New Roman"/>
          <w:sz w:val="28"/>
          <w:szCs w:val="28"/>
        </w:rPr>
        <w:t xml:space="preserve">,                                                  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365A86">
        <w:rPr>
          <w:rFonts w:ascii="Times New Roman" w:hAnsi="Times New Roman" w:cs="Times New Roman"/>
          <w:sz w:val="28"/>
          <w:szCs w:val="28"/>
        </w:rPr>
        <w:t>13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496046">
        <w:rPr>
          <w:rStyle w:val="Bodytext12"/>
          <w:rFonts w:ascii="Times New Roman" w:hAnsi="Times New Roman" w:cs="Times New Roman"/>
          <w:i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3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– частина трудомісткості ТО-2, яка припадає на поглиблену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EC2212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діагностику (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легкові автомобілі 12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автобуси 7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вантажні автомобілі загального призначення 10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автомобілі-самоскиди 5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причепи і напівпричепи 2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%).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Style w:val="Bodytext862"/>
          <w:sz w:val="28"/>
          <w:szCs w:val="28"/>
          <w:lang w:eastAsia="uk-UA"/>
        </w:rPr>
      </w:pPr>
      <w:r w:rsidRPr="00496046">
        <w:rPr>
          <w:rStyle w:val="Bodytext862"/>
          <w:sz w:val="28"/>
          <w:szCs w:val="28"/>
          <w:lang w:eastAsia="uk-UA"/>
        </w:rPr>
        <w:lastRenderedPageBreak/>
        <w:t>Трудомісткість контрольно-діагностичних робіт ПР</w:t>
      </w:r>
    </w:p>
    <w:p w:rsidR="00496046" w:rsidRPr="00365A86" w:rsidRDefault="00496046" w:rsidP="00365A86">
      <w:pPr>
        <w:pStyle w:val="Bodytext81"/>
        <w:spacing w:before="0" w:line="360" w:lineRule="auto"/>
        <w:ind w:firstLine="3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val="ru-RU" w:eastAsia="uk-UA"/>
        </w:rPr>
        <w:t>Д</w:t>
      </w:r>
      <w:proofErr w:type="spellStart"/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пр</w:t>
      </w:r>
      <w:proofErr w:type="spellEnd"/>
      <w:r w:rsidRPr="00496046">
        <w:rPr>
          <w:rStyle w:val="Bodytext721"/>
          <w:i/>
          <w:sz w:val="28"/>
          <w:szCs w:val="28"/>
          <w:lang w:eastAsia="uk-UA"/>
        </w:rPr>
        <w:t xml:space="preserve"> = m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4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proofErr w:type="spellStart"/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пр</w:t>
      </w:r>
      <w:proofErr w:type="spellEnd"/>
      <w:r w:rsidR="00365A86">
        <w:rPr>
          <w:rStyle w:val="Bodytext721"/>
          <w:i/>
          <w:sz w:val="28"/>
          <w:szCs w:val="28"/>
          <w:vertAlign w:val="subscript"/>
          <w:lang w:eastAsia="uk-UA"/>
        </w:rPr>
        <w:t xml:space="preserve">  </w:t>
      </w:r>
      <w:r w:rsidR="00365A86">
        <w:rPr>
          <w:rFonts w:ascii="Times New Roman" w:hAnsi="Times New Roman" w:cs="Times New Roman"/>
          <w:sz w:val="28"/>
          <w:szCs w:val="28"/>
        </w:rPr>
        <w:t xml:space="preserve">,                                          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365A86">
        <w:rPr>
          <w:rFonts w:ascii="Times New Roman" w:hAnsi="Times New Roman" w:cs="Times New Roman"/>
          <w:sz w:val="28"/>
          <w:szCs w:val="28"/>
        </w:rPr>
        <w:t>14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де 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– частка трудомісткості ПР, яка припадає на загальне та поглиблене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діагностування (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=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2% для автомобілів і автобусів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; 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m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= 3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для причепів і напівпричепів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0137C9" w:rsidRDefault="000137C9" w:rsidP="000137C9">
      <w:pPr>
        <w:pStyle w:val="3"/>
        <w:jc w:val="center"/>
        <w:rPr>
          <w:color w:val="000000"/>
        </w:rPr>
      </w:pPr>
      <w:r>
        <w:rPr>
          <w:color w:val="000000"/>
        </w:rPr>
        <w:t>Хід роботи</w:t>
      </w:r>
    </w:p>
    <w:p w:rsidR="000137C9" w:rsidRPr="00F407A7" w:rsidRDefault="000137C9" w:rsidP="00F407A7">
      <w:pPr>
        <w:pStyle w:val="a3"/>
        <w:spacing w:line="360" w:lineRule="auto"/>
        <w:ind w:firstLine="272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 xml:space="preserve">1. </w:t>
      </w:r>
      <w:r w:rsidR="005F4A82" w:rsidRPr="00F407A7">
        <w:rPr>
          <w:color w:val="000000"/>
          <w:sz w:val="28"/>
          <w:szCs w:val="28"/>
          <w:shd w:val="clear" w:color="auto" w:fill="FFFFFF"/>
        </w:rPr>
        <w:t>На основі завдання, виданого викладачем, або за даними конкретного підприємства розрахувати річну програму РОВ АТП</w:t>
      </w:r>
      <w:r w:rsidRPr="00F407A7">
        <w:rPr>
          <w:color w:val="000000"/>
          <w:sz w:val="28"/>
          <w:szCs w:val="28"/>
        </w:rPr>
        <w:t>.</w:t>
      </w:r>
      <w:r w:rsidR="005F4A82" w:rsidRPr="00F407A7">
        <w:rPr>
          <w:color w:val="000000"/>
          <w:sz w:val="28"/>
          <w:szCs w:val="28"/>
        </w:rPr>
        <w:t xml:space="preserve"> </w:t>
      </w:r>
      <w:r w:rsidR="005F4A82" w:rsidRPr="00F407A7">
        <w:rPr>
          <w:color w:val="000000"/>
          <w:sz w:val="28"/>
          <w:szCs w:val="28"/>
          <w:shd w:val="clear" w:color="auto" w:fill="FFFFFF"/>
        </w:rPr>
        <w:t xml:space="preserve">Вихідні значення для автомобілів наведенні в </w:t>
      </w:r>
      <w:r w:rsidR="00F407A7" w:rsidRPr="00F407A7">
        <w:rPr>
          <w:color w:val="000000"/>
          <w:sz w:val="28"/>
          <w:szCs w:val="28"/>
          <w:shd w:val="clear" w:color="auto" w:fill="FFFFFF"/>
        </w:rPr>
        <w:t xml:space="preserve">лабораторній </w:t>
      </w:r>
      <w:r w:rsidR="005F4A82" w:rsidRPr="00F407A7">
        <w:rPr>
          <w:color w:val="000000"/>
          <w:sz w:val="28"/>
          <w:szCs w:val="28"/>
          <w:shd w:val="clear" w:color="auto" w:fill="FFFFFF"/>
        </w:rPr>
        <w:t xml:space="preserve"> роботі №1 та табл. 2.1</w:t>
      </w:r>
    </w:p>
    <w:p w:rsidR="000137C9" w:rsidRDefault="000137C9" w:rsidP="000137C9">
      <w:pPr>
        <w:pStyle w:val="3"/>
        <w:jc w:val="center"/>
        <w:rPr>
          <w:color w:val="000000"/>
        </w:rPr>
      </w:pPr>
      <w:r>
        <w:rPr>
          <w:color w:val="000000"/>
        </w:rPr>
        <w:t>Контрольні запитання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1. Що таке виробнича програма, які є види виробничих програм?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2. Які є методи розрахунку виробничої програми, їх переваги та недоліки?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3. Які показники визначають річну виробничу програму? Як їх розраховують?</w:t>
      </w:r>
    </w:p>
    <w:p w:rsidR="006E001A" w:rsidRPr="003D79E9" w:rsidRDefault="006E001A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6E001A" w:rsidRPr="003D79E9" w:rsidSect="00FA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488"/>
    <w:rsid w:val="000137C9"/>
    <w:rsid w:val="001450EB"/>
    <w:rsid w:val="001567E2"/>
    <w:rsid w:val="001744FC"/>
    <w:rsid w:val="001A379A"/>
    <w:rsid w:val="001D1BA0"/>
    <w:rsid w:val="001F725B"/>
    <w:rsid w:val="00247D92"/>
    <w:rsid w:val="002E082C"/>
    <w:rsid w:val="002F2898"/>
    <w:rsid w:val="00365A86"/>
    <w:rsid w:val="00373849"/>
    <w:rsid w:val="003D79E9"/>
    <w:rsid w:val="00496046"/>
    <w:rsid w:val="005F4A82"/>
    <w:rsid w:val="00612488"/>
    <w:rsid w:val="006E001A"/>
    <w:rsid w:val="007315BF"/>
    <w:rsid w:val="0079282D"/>
    <w:rsid w:val="007B073A"/>
    <w:rsid w:val="008B0805"/>
    <w:rsid w:val="00C607EC"/>
    <w:rsid w:val="00D00118"/>
    <w:rsid w:val="00D31923"/>
    <w:rsid w:val="00EC2212"/>
    <w:rsid w:val="00EE42AB"/>
    <w:rsid w:val="00EE6740"/>
    <w:rsid w:val="00F407A7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4B9AD2"/>
  <w15:docId w15:val="{CB7CE7EF-B4BE-4D91-84A8-A453DF0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C5"/>
  </w:style>
  <w:style w:type="paragraph" w:styleId="1">
    <w:name w:val="heading 1"/>
    <w:basedOn w:val="a"/>
    <w:link w:val="10"/>
    <w:uiPriority w:val="9"/>
    <w:qFormat/>
    <w:rsid w:val="00612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2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373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24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24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24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8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73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15">
    <w:name w:val="Body text (15)"/>
    <w:basedOn w:val="a0"/>
    <w:link w:val="Bodytext151"/>
    <w:rsid w:val="00D31923"/>
    <w:rPr>
      <w:sz w:val="14"/>
      <w:szCs w:val="14"/>
      <w:shd w:val="clear" w:color="auto" w:fill="FFFFFF"/>
    </w:rPr>
  </w:style>
  <w:style w:type="character" w:customStyle="1" w:styleId="Bodytext1520">
    <w:name w:val="Body text (15)20"/>
    <w:basedOn w:val="Bodytext15"/>
    <w:rsid w:val="00D31923"/>
    <w:rPr>
      <w:sz w:val="14"/>
      <w:szCs w:val="14"/>
      <w:shd w:val="clear" w:color="auto" w:fill="FFFFFF"/>
    </w:rPr>
  </w:style>
  <w:style w:type="character" w:customStyle="1" w:styleId="Bodytext1519">
    <w:name w:val="Body text (15)19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">
    <w:name w:val="Body text (18)"/>
    <w:basedOn w:val="a0"/>
    <w:link w:val="Bodytext181"/>
    <w:rsid w:val="00D31923"/>
    <w:rPr>
      <w:sz w:val="14"/>
      <w:szCs w:val="14"/>
      <w:shd w:val="clear" w:color="auto" w:fill="FFFFFF"/>
    </w:rPr>
  </w:style>
  <w:style w:type="character" w:customStyle="1" w:styleId="Bodytext1823">
    <w:name w:val="Body text (18)23"/>
    <w:basedOn w:val="Bodytext18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7">
    <w:name w:val="Body text (15)17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6">
    <w:name w:val="Body text (15)16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2">
    <w:name w:val="Body text (18)22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9">
    <w:name w:val="Body text (19)"/>
    <w:basedOn w:val="a0"/>
    <w:link w:val="Bodytext191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3">
    <w:name w:val="Body text (19)3"/>
    <w:basedOn w:val="Bodytext19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2">
    <w:name w:val="Body text (19)2"/>
    <w:basedOn w:val="Bodytext19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5">
    <w:name w:val="Body text (15)15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4">
    <w:name w:val="Body text (15)14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3">
    <w:name w:val="Body text (15)13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1">
    <w:name w:val="Body text (18)21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6">
    <w:name w:val="Body text (16)"/>
    <w:basedOn w:val="a0"/>
    <w:link w:val="Bodytext161"/>
    <w:rsid w:val="00D31923"/>
    <w:rPr>
      <w:noProof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rsid w:val="00D31923"/>
    <w:rPr>
      <w:noProof/>
      <w:sz w:val="16"/>
      <w:szCs w:val="16"/>
      <w:shd w:val="clear" w:color="auto" w:fill="FFFFFF"/>
    </w:rPr>
  </w:style>
  <w:style w:type="character" w:customStyle="1" w:styleId="Bodytext1512">
    <w:name w:val="Body text (15)12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1">
    <w:name w:val="Body text (15)11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7">
    <w:name w:val="Body text (17)"/>
    <w:basedOn w:val="a0"/>
    <w:link w:val="Bodytext171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72">
    <w:name w:val="Body text (17)2"/>
    <w:basedOn w:val="Bodytext17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820">
    <w:name w:val="Body text (18)20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510">
    <w:name w:val="Body text (15)10"/>
    <w:basedOn w:val="Bodytext15"/>
    <w:rsid w:val="00D31923"/>
    <w:rPr>
      <w:noProof/>
      <w:sz w:val="14"/>
      <w:szCs w:val="14"/>
      <w:shd w:val="clear" w:color="auto" w:fill="FFFFFF"/>
    </w:rPr>
  </w:style>
  <w:style w:type="paragraph" w:customStyle="1" w:styleId="Bodytext151">
    <w:name w:val="Body text (15)1"/>
    <w:basedOn w:val="a"/>
    <w:link w:val="Bodytext15"/>
    <w:rsid w:val="00D31923"/>
    <w:pPr>
      <w:shd w:val="clear" w:color="auto" w:fill="FFFFFF"/>
      <w:spacing w:after="0" w:line="240" w:lineRule="atLeast"/>
      <w:jc w:val="both"/>
    </w:pPr>
    <w:rPr>
      <w:sz w:val="14"/>
      <w:szCs w:val="14"/>
    </w:rPr>
  </w:style>
  <w:style w:type="paragraph" w:customStyle="1" w:styleId="Bodytext181">
    <w:name w:val="Body text (18)1"/>
    <w:basedOn w:val="a"/>
    <w:link w:val="Bodytext18"/>
    <w:rsid w:val="00D31923"/>
    <w:pPr>
      <w:shd w:val="clear" w:color="auto" w:fill="FFFFFF"/>
      <w:spacing w:after="0" w:line="240" w:lineRule="atLeast"/>
    </w:pPr>
    <w:rPr>
      <w:sz w:val="14"/>
      <w:szCs w:val="14"/>
    </w:rPr>
  </w:style>
  <w:style w:type="paragraph" w:customStyle="1" w:styleId="Bodytext191">
    <w:name w:val="Body text (19)1"/>
    <w:basedOn w:val="a"/>
    <w:link w:val="Bodytext19"/>
    <w:rsid w:val="00D31923"/>
    <w:pPr>
      <w:shd w:val="clear" w:color="auto" w:fill="FFFFFF"/>
      <w:spacing w:after="0" w:line="240" w:lineRule="atLeast"/>
    </w:pPr>
    <w:rPr>
      <w:sz w:val="16"/>
      <w:szCs w:val="16"/>
      <w:lang w:val="ru-RU" w:eastAsia="ru-RU"/>
    </w:rPr>
  </w:style>
  <w:style w:type="paragraph" w:customStyle="1" w:styleId="Bodytext161">
    <w:name w:val="Body text (16)1"/>
    <w:basedOn w:val="a"/>
    <w:link w:val="Bodytext16"/>
    <w:rsid w:val="00D31923"/>
    <w:pPr>
      <w:shd w:val="clear" w:color="auto" w:fill="FFFFFF"/>
      <w:spacing w:after="0" w:line="240" w:lineRule="atLeast"/>
      <w:jc w:val="both"/>
    </w:pPr>
    <w:rPr>
      <w:noProof/>
      <w:sz w:val="16"/>
      <w:szCs w:val="16"/>
    </w:rPr>
  </w:style>
  <w:style w:type="paragraph" w:customStyle="1" w:styleId="Bodytext171">
    <w:name w:val="Body text (17)1"/>
    <w:basedOn w:val="a"/>
    <w:link w:val="Bodytext17"/>
    <w:rsid w:val="00D31923"/>
    <w:pPr>
      <w:shd w:val="clear" w:color="auto" w:fill="FFFFFF"/>
      <w:spacing w:after="0" w:line="240" w:lineRule="atLeast"/>
      <w:jc w:val="both"/>
    </w:pPr>
    <w:rPr>
      <w:smallCaps/>
      <w:noProof/>
      <w:sz w:val="14"/>
      <w:szCs w:val="14"/>
    </w:rPr>
  </w:style>
  <w:style w:type="character" w:customStyle="1" w:styleId="Bodytext1819">
    <w:name w:val="Body text (18)19"/>
    <w:basedOn w:val="Bodytext18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9">
    <w:name w:val="Body text (15)9"/>
    <w:basedOn w:val="Bodytext15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8">
    <w:name w:val="Body text (15)8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7">
    <w:name w:val="Body text (15)7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6">
    <w:name w:val="Body text (15)6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5">
    <w:name w:val="Body text (15)5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818">
    <w:name w:val="Body text (18)18"/>
    <w:basedOn w:val="Bodytext18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4">
    <w:name w:val="Body text (15)4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21">
    <w:name w:val="Body text (21)"/>
    <w:basedOn w:val="a0"/>
    <w:link w:val="Bodytext211"/>
    <w:rsid w:val="00D31923"/>
    <w:rPr>
      <w:b/>
      <w:bCs/>
      <w:sz w:val="10"/>
      <w:szCs w:val="10"/>
      <w:shd w:val="clear" w:color="auto" w:fill="FFFFFF"/>
    </w:rPr>
  </w:style>
  <w:style w:type="character" w:customStyle="1" w:styleId="Bodytext212">
    <w:name w:val="Body text (21)2"/>
    <w:basedOn w:val="Bodytext21"/>
    <w:rsid w:val="00D31923"/>
    <w:rPr>
      <w:b/>
      <w:bCs/>
      <w:sz w:val="10"/>
      <w:szCs w:val="10"/>
      <w:shd w:val="clear" w:color="auto" w:fill="FFFFFF"/>
    </w:rPr>
  </w:style>
  <w:style w:type="paragraph" w:customStyle="1" w:styleId="Bodytext211">
    <w:name w:val="Body text (21)1"/>
    <w:basedOn w:val="a"/>
    <w:link w:val="Bodytext21"/>
    <w:rsid w:val="00D31923"/>
    <w:pPr>
      <w:shd w:val="clear" w:color="auto" w:fill="FFFFFF"/>
      <w:spacing w:after="0" w:line="240" w:lineRule="atLeast"/>
      <w:jc w:val="both"/>
    </w:pPr>
    <w:rPr>
      <w:b/>
      <w:bCs/>
      <w:sz w:val="10"/>
      <w:szCs w:val="10"/>
    </w:rPr>
  </w:style>
  <w:style w:type="character" w:customStyle="1" w:styleId="Bodytext12">
    <w:name w:val="Body text12"/>
    <w:basedOn w:val="a0"/>
    <w:rsid w:val="001D1BA0"/>
    <w:rPr>
      <w:sz w:val="16"/>
      <w:szCs w:val="16"/>
      <w:lang w:bidi="ar-SA"/>
    </w:rPr>
  </w:style>
  <w:style w:type="character" w:customStyle="1" w:styleId="Bodytext143">
    <w:name w:val="Body text (14)3"/>
    <w:basedOn w:val="a0"/>
    <w:rsid w:val="001450EB"/>
    <w:rPr>
      <w:rFonts w:ascii="Times New Roman" w:hAnsi="Times New Roman" w:cs="Times New Roman"/>
      <w:b/>
      <w:bCs/>
      <w:sz w:val="16"/>
      <w:szCs w:val="16"/>
      <w:lang w:bidi="ar-SA"/>
    </w:rPr>
  </w:style>
  <w:style w:type="character" w:customStyle="1" w:styleId="Bodytext142">
    <w:name w:val="Body text (14)2"/>
    <w:basedOn w:val="a0"/>
    <w:rsid w:val="001450EB"/>
    <w:rPr>
      <w:rFonts w:ascii="Times New Roman" w:hAnsi="Times New Roman" w:cs="Times New Roman"/>
      <w:b/>
      <w:bCs/>
      <w:noProof/>
      <w:sz w:val="16"/>
      <w:szCs w:val="16"/>
      <w:lang w:bidi="ar-SA"/>
    </w:rPr>
  </w:style>
  <w:style w:type="character" w:customStyle="1" w:styleId="Bodytext8">
    <w:name w:val="Body text (8)"/>
    <w:basedOn w:val="a0"/>
    <w:link w:val="Bodytext81"/>
    <w:rsid w:val="001450EB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rsid w:val="001450EB"/>
    <w:pPr>
      <w:shd w:val="clear" w:color="auto" w:fill="FFFFFF"/>
      <w:spacing w:before="2100" w:after="0" w:line="220" w:lineRule="exact"/>
    </w:pPr>
    <w:rPr>
      <w:sz w:val="16"/>
      <w:szCs w:val="16"/>
    </w:rPr>
  </w:style>
  <w:style w:type="character" w:customStyle="1" w:styleId="11">
    <w:name w:val="Основной текст1"/>
    <w:basedOn w:val="a0"/>
    <w:link w:val="Bodytext1"/>
    <w:rsid w:val="001450EB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a"/>
    <w:link w:val="11"/>
    <w:rsid w:val="001450EB"/>
    <w:pPr>
      <w:shd w:val="clear" w:color="auto" w:fill="FFFFFF"/>
      <w:spacing w:after="2100" w:line="216" w:lineRule="exact"/>
      <w:ind w:firstLine="480"/>
      <w:jc w:val="both"/>
    </w:pPr>
    <w:rPr>
      <w:sz w:val="16"/>
      <w:szCs w:val="16"/>
    </w:rPr>
  </w:style>
  <w:style w:type="character" w:customStyle="1" w:styleId="Bodytext10">
    <w:name w:val="Body text10"/>
    <w:basedOn w:val="11"/>
    <w:rsid w:val="001450EB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character" w:styleId="a7">
    <w:name w:val="Emphasis"/>
    <w:basedOn w:val="a0"/>
    <w:uiPriority w:val="20"/>
    <w:qFormat/>
    <w:rsid w:val="001450EB"/>
    <w:rPr>
      <w:i/>
      <w:iCs/>
    </w:rPr>
  </w:style>
  <w:style w:type="character" w:customStyle="1" w:styleId="Tablecaption">
    <w:name w:val="Table caption"/>
    <w:basedOn w:val="a0"/>
    <w:link w:val="Tablecaption1"/>
    <w:locked/>
    <w:rsid w:val="001450EB"/>
    <w:rPr>
      <w:sz w:val="16"/>
      <w:szCs w:val="16"/>
      <w:shd w:val="clear" w:color="auto" w:fill="FFFFFF"/>
    </w:rPr>
  </w:style>
  <w:style w:type="character" w:customStyle="1" w:styleId="Tablecaption2">
    <w:name w:val="Table caption2"/>
    <w:basedOn w:val="Tablecaption"/>
    <w:rsid w:val="001450EB"/>
    <w:rPr>
      <w:sz w:val="16"/>
      <w:szCs w:val="16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1450EB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Bodytext20">
    <w:name w:val="Body text (20)"/>
    <w:basedOn w:val="a0"/>
    <w:link w:val="Bodytext201"/>
    <w:locked/>
    <w:rsid w:val="001450EB"/>
    <w:rPr>
      <w:sz w:val="18"/>
      <w:szCs w:val="18"/>
      <w:shd w:val="clear" w:color="auto" w:fill="FFFFFF"/>
      <w:lang w:val="ru-RU" w:eastAsia="ru-RU"/>
    </w:rPr>
  </w:style>
  <w:style w:type="character" w:customStyle="1" w:styleId="Bodytext866">
    <w:name w:val="Body text (8)66"/>
    <w:basedOn w:val="Bodytext8"/>
    <w:rsid w:val="001450EB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206">
    <w:name w:val="Body text (20)6"/>
    <w:basedOn w:val="Bodytext20"/>
    <w:rsid w:val="001450EB"/>
    <w:rPr>
      <w:sz w:val="18"/>
      <w:szCs w:val="18"/>
      <w:shd w:val="clear" w:color="auto" w:fill="FFFFFF"/>
      <w:lang w:val="ru-RU" w:eastAsia="ru-RU"/>
    </w:rPr>
  </w:style>
  <w:style w:type="paragraph" w:customStyle="1" w:styleId="Bodytext201">
    <w:name w:val="Body text (20)1"/>
    <w:basedOn w:val="a"/>
    <w:link w:val="Bodytext20"/>
    <w:rsid w:val="001450EB"/>
    <w:pPr>
      <w:shd w:val="clear" w:color="auto" w:fill="FFFFFF"/>
      <w:spacing w:after="0" w:line="240" w:lineRule="atLeast"/>
    </w:pPr>
    <w:rPr>
      <w:sz w:val="18"/>
      <w:szCs w:val="18"/>
      <w:lang w:val="ru-RU" w:eastAsia="ru-RU"/>
    </w:rPr>
  </w:style>
  <w:style w:type="character" w:customStyle="1" w:styleId="Bodytext7">
    <w:name w:val="Body text (7)"/>
    <w:basedOn w:val="a0"/>
    <w:link w:val="Bodytext71"/>
    <w:rsid w:val="00496046"/>
    <w:rPr>
      <w:sz w:val="16"/>
      <w:szCs w:val="16"/>
      <w:shd w:val="clear" w:color="auto" w:fill="FFFFFF"/>
    </w:rPr>
  </w:style>
  <w:style w:type="paragraph" w:customStyle="1" w:styleId="Bodytext71">
    <w:name w:val="Body text (7)1"/>
    <w:basedOn w:val="a"/>
    <w:link w:val="Bodytext7"/>
    <w:rsid w:val="00496046"/>
    <w:pPr>
      <w:shd w:val="clear" w:color="auto" w:fill="FFFFFF"/>
      <w:spacing w:before="1800" w:after="2340" w:line="216" w:lineRule="exact"/>
      <w:jc w:val="right"/>
    </w:pPr>
    <w:rPr>
      <w:sz w:val="16"/>
      <w:szCs w:val="16"/>
    </w:rPr>
  </w:style>
  <w:style w:type="character" w:customStyle="1" w:styleId="Bodytext11">
    <w:name w:val="Body text11"/>
    <w:basedOn w:val="11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862">
    <w:name w:val="Body text (8)62"/>
    <w:basedOn w:val="Bodytext8"/>
    <w:rsid w:val="00496046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861">
    <w:name w:val="Body text (8)61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05">
    <w:name w:val="Body text (20)5"/>
    <w:basedOn w:val="Bodytext20"/>
    <w:rsid w:val="00496046"/>
    <w:rPr>
      <w:rFonts w:ascii="Times New Roman" w:hAnsi="Times New Roman" w:cs="Times New Roman"/>
      <w:sz w:val="18"/>
      <w:szCs w:val="18"/>
      <w:shd w:val="clear" w:color="auto" w:fill="FFFFFF"/>
      <w:lang w:val="ru-RU" w:eastAsia="ru-RU" w:bidi="ar-SA"/>
    </w:rPr>
  </w:style>
  <w:style w:type="character" w:customStyle="1" w:styleId="Bodytext860">
    <w:name w:val="Body text (8)60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7">
    <w:name w:val="Body text (27)"/>
    <w:basedOn w:val="a0"/>
    <w:link w:val="Bodytext271"/>
    <w:locked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character" w:customStyle="1" w:styleId="Bodytext273">
    <w:name w:val="Body text (27)3"/>
    <w:basedOn w:val="Bodytext27"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paragraph" w:customStyle="1" w:styleId="Bodytext271">
    <w:name w:val="Body text (27)1"/>
    <w:basedOn w:val="a"/>
    <w:link w:val="Bodytext27"/>
    <w:rsid w:val="00496046"/>
    <w:pPr>
      <w:shd w:val="clear" w:color="auto" w:fill="FFFFFF"/>
      <w:spacing w:after="0" w:line="240" w:lineRule="atLeast"/>
    </w:pPr>
    <w:rPr>
      <w:b/>
      <w:bCs/>
      <w:sz w:val="10"/>
      <w:szCs w:val="10"/>
      <w:lang w:val="ru-RU" w:eastAsia="ru-RU"/>
    </w:rPr>
  </w:style>
  <w:style w:type="character" w:customStyle="1" w:styleId="Bodytext9">
    <w:name w:val="Body text9"/>
    <w:basedOn w:val="11"/>
    <w:rsid w:val="00496046"/>
    <w:rPr>
      <w:rFonts w:ascii="Times New Roman" w:hAnsi="Times New Roman" w:cs="Times New Roman"/>
      <w:sz w:val="16"/>
      <w:szCs w:val="16"/>
      <w:shd w:val="clear" w:color="auto" w:fill="FFFFFF"/>
      <w:lang w:val="ru-RU" w:eastAsia="ru-RU" w:bidi="ar-SA"/>
    </w:rPr>
  </w:style>
  <w:style w:type="character" w:customStyle="1" w:styleId="Bodytext721">
    <w:name w:val="Body text (7)21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720">
    <w:name w:val="Body text (7)20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3485-5A40-4BBB-B66F-0949853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2023-02-23T07:29:00Z</dcterms:created>
  <dcterms:modified xsi:type="dcterms:W3CDTF">2023-03-12T13:47:00Z</dcterms:modified>
</cp:coreProperties>
</file>