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CC" w:rsidRPr="00BF4865" w:rsidRDefault="00BF4865" w:rsidP="00981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F4865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BF4865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r w:rsidR="00981DCC" w:rsidRPr="00BF48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0"/>
    </w:p>
    <w:p w:rsidR="00981DCC" w:rsidRDefault="00981DCC" w:rsidP="0043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9641FC">
        <w:rPr>
          <w:rFonts w:ascii="Times New Roman" w:hAnsi="Times New Roman" w:cs="Times New Roman"/>
          <w:bCs/>
          <w:sz w:val="32"/>
          <w:szCs w:val="32"/>
        </w:rPr>
        <w:t xml:space="preserve">бакалавр </w:t>
      </w:r>
      <w:proofErr w:type="spellStart"/>
      <w:r w:rsidR="0043706A" w:rsidRPr="0043706A">
        <w:rPr>
          <w:rFonts w:ascii="Times New Roman" w:hAnsi="Times New Roman" w:cs="Times New Roman"/>
          <w:bCs/>
          <w:sz w:val="32"/>
          <w:szCs w:val="32"/>
          <w:u w:val="single"/>
        </w:rPr>
        <w:t>Контрастивна</w:t>
      </w:r>
      <w:proofErr w:type="spellEnd"/>
      <w:r w:rsidR="0043706A" w:rsidRPr="0043706A">
        <w:rPr>
          <w:rFonts w:ascii="Times New Roman" w:hAnsi="Times New Roman" w:cs="Times New Roman"/>
          <w:bCs/>
          <w:sz w:val="32"/>
          <w:szCs w:val="32"/>
          <w:u w:val="single"/>
        </w:rPr>
        <w:t xml:space="preserve"> типологія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81DCC" w:rsidRDefault="00981DCC" w:rsidP="0098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C05F2E" w:rsidRDefault="00C05F2E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Typology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aims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establishing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similar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linguistic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categories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classify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types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irrespective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.. .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8C2102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..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considered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founder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ypology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W.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von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Humboldt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grouped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four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.. .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heory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introduced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F.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Bopp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thought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organism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grow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decay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whose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changes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analyzed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using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methods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.. .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treatFlanguage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asFsystem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of signs.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Language features losing their former dominant role are called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C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ommon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features/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phenomenAin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languages</w:t>
            </w:r>
          </w:p>
          <w:p w:rsidR="00AC38C7" w:rsidRPr="00183B0A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ontrastive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are called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The features which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observed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missing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are called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……. are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phenomenAofFlanguage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pertaining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In Ukrainian and English, vo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wels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consonants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utterance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intonation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sentences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parts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sentence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parts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pertain to.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… - t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analysis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phenomenAof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contrasted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carried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The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phenomenAdominating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atFlanguage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contrasted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are called.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Affixal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derivational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word-formation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includes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Typological investigations aim at.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object of contrastive typology may involve.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ypological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honology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investigate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Isolating languages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are characterized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Synchronic typology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Semas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iological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typology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O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nomasiological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typology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Qualitative typology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Contrastive typological investigations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are focused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studying. ..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 for the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sentence-structure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inflexional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languages are marked by … word order.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Language type is understood as.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Regularities characteristic of all or the majority of all languages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are called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At the lexical level the key constants in the contrasted languages are the following: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systemic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organisation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lexicon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 conditioned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words 'president', 'theatre', 'atom', 'forum', 'waltz' belong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Examples of nationally specific lexicon are.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linguistic principles of typological classification of lexicon are based in all languages on.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the English and Ukrainian languages, to isomorphic features do not belong.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semiotic classification of lexicon does not contain.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Away of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word-building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without the use of affixes which is often regarded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asFparticularly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English linguistic phenomenon is called.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Affixal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morphemes in both languages. ..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case of the lexeme “tinkle”, it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 created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means of.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Which of the following suffixes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are used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 form abstract nouns?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Which words are the examples of conversion?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Which words are the examples of back-formation?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Which words are the examples of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substantivization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Derivational word formation in English and Ukrainian refers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2780"/>
                <w:tab w:val="left" w:pos="4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medicare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formed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means of.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2580"/>
                <w:tab w:val="left" w:pos="4520"/>
                <w:tab w:val="left" w:pos="69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prefix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inconvenient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hasF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meaning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2780"/>
                <w:tab w:val="left" w:pos="4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Afifter</w:t>
            </w: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includes the suffix -er which denotes.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examples of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substantivation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are.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emiotic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lassification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l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exicon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based 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difference between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onomasiological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semasiological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approaches to studying lexicon?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isFcommon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feature of formal language?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is an example of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onomasiological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variation in lexicon?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is an example of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semasiological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variation in lexicon?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isFcommon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feature of the literary register?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isFlexical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typology?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isFmorpheme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Which of the following best describes semasiology?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of the following best describes onomasiology?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2510"/>
                <w:tab w:val="left" w:pos="687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3B0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defined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asFdialectical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unity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What words serve as specific gender classifiers of nouns?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Define the nature of the –‘s sign in genitive case forms.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What do the bound morphemes express?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Which of the following are compound stems?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How many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criteriAare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used in modern linguistics to discriminate parts of speech?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What do grammatical paradigms express?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A(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an) …. .. ..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stand alone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asFword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other term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 used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instead of ‘Apart of speech’?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English and Ukrainian languages,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allomorphism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exists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in.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 the English and Ukrainian languages, is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omorphism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observed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English and Ukrainian languages,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allomorphism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exists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in.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The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constructions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are more frequent in English than in Ukrainian because of …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English and Ukrainian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</w:t>
            </w:r>
          </w:p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divergent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diyepryslivnyk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Spe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cifically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is.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P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ertained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specifically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to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present-day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i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s.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35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interrelation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lexical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meaning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morphological structure</w:t>
            </w: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What type of grammatical information does the inflectional affix in the word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speeches’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communicate?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type of grammatical information does the inflectional affix in the word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climbed’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communicate?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What type of grammatical information does the inflectional difference between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he’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and 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’him’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indicate?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T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he Merriam-Webster Dictionary added the word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contactless’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its word list, referring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toFway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paying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withFcredit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card without contacting the credit machine. How was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contactless’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derived?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T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he Merriam-Webster Dictionary added the word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zonkey’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refer to the offspring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ofFzebrAandFdonkey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How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was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zonkey’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derived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T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he Merriam-Webster Dictionary added the word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WFH’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its word list, referring to the situation of people working from home. How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was ‘</w:t>
            </w:r>
            <w:r w:rsidRPr="00183B0A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t xml:space="preserve">WFH’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derived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2820"/>
                <w:tab w:val="left" w:pos="5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forms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minimal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paradigm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consist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grammatical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paradigms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express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Identify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“-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word-form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‘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busier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’: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Since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present-day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mainly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analytical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structure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predominant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means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grammatical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connection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wordgroups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….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Entirely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allomorphic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plural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nouns </w:t>
            </w:r>
            <w:proofErr w:type="spellStart"/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means</w:t>
            </w: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Syndetic and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asyndetic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connection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 observed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…. word-groups,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 . fall into completely isomorphic subgroups of concrete nouns, nouns of emotional and rational states, nouns of materials, nouns of natural phenomena, etc.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Aset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all forms which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containFcommon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element, especially the set of all inflectional forms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ofFword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orFparticular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grammatical category.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 fall into isomorphic names/nicknames of people/nationalities, family names, geographic names.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There is some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allomorphism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the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realisation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the meaning (and category) of number and quantity in …. .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contrasted languages.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system of stem-building elements performing isomorphic functions in the contrasted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languages,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does not include.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Ukrainian, ….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represent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 allomorphic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feature expressing peculiar connotation meanings.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There are … declensions of Ukrainian noun.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major allomorphic feature in the system of …. .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categories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the existence in Ukrainian of dual number.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dual number of nouns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 expressed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only in connection with certain ….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(s)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meaning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of the marker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ʼs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Ukrainian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category of case finds its morphological expression through the system of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inflexional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markers, which depend on the ….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Ukrainian nouns have marked …. ..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nominative, genitive, dative, accusative, instrumental, locative and vocative case.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case in Ukrainian expresses the relations of the ….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other parts of the sentence.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The category of gender in English is purely …. (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masculine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feminine, neuter gender).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Ukrainian gender can be expressed by different language means: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1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. .. .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areFpart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speech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which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characterized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by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lexico-grammatical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meaning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modality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negative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combinability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function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parenthetical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>elements</w:t>
            </w:r>
            <w:proofErr w:type="spellEnd"/>
            <w:r w:rsidRPr="00183B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7E122A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C. T.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Hockett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distinguished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parts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classes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words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" -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regard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.. .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properties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isFstem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morphology?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ords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meaning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perform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(c</w:t>
            </w: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 .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book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book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sth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words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function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both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nouns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adjectives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like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innocent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savage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sweet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ords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adjective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pattern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like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clean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hands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clean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room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ords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which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follow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adjective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verb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pattern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like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fat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meat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fat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meat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fat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up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>fowls</w:t>
            </w:r>
            <w:proofErr w:type="spellEnd"/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0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.. ..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joined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conjunctions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or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either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or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або; або. .. або; чи; чи. .. чи; </w:t>
            </w:r>
            <w:r w:rsidRPr="00183B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то. .. то, </w:t>
            </w:r>
            <w:r w:rsidRPr="00183B0A">
              <w:rPr>
                <w:rFonts w:ascii="Times New Roman" w:hAnsi="Times New Roman" w:cs="Times New Roman"/>
                <w:i/>
                <w:sz w:val="28"/>
                <w:szCs w:val="28"/>
                <w:lang w:val="pl-PL"/>
              </w:rPr>
              <w:t xml:space="preserve">etc.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 - when the second sentence is the result or consequence from the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ideAexpressed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the first sentence.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when the first sentence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 accompanied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the second sentence for the completion or development of the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ideAexpressed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the first sentence.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 - when there </w:t>
            </w:r>
            <w:proofErr w:type="spell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isFconnection</w:t>
            </w:r>
            <w:proofErr w:type="spell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very close according to their content sentences.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The…. classification of adverbial clauses in English and Ukrainian is established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on the basis of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their role in the sentence.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four types of stems are distinguished?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typology of the morphological systems based 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root-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morphemed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 are words that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 root-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morphemed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words are also known as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function of an inflectional morpheme?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central role of the verb in prediction?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syntactic function of the predicate?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Isomorphic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Ukrainian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12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proofErr w:type="gramEnd"/>
            <w:r w:rsidRPr="00183B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helps identify the quantitative co-occurrence or frequency of some feature or phenomenon in the contrasted languages.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prepositions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features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characterizesFpreposition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of the following is an example of an agentive relation expressed by prepositions?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preposition expresses the genitive case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prepositions express the instrumental case?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parts of speech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be governed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Ukrainian prepositions?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type of stem structure includes prepositions such as inside, outside, and within?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0A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odal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verbs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of the following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isFcharacteristic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modal words?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of the following is true about interjections?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According to stem structure, interjections in English and Ukrainian are categorized as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According to structure, interjections in both languages fall into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different groups of interjections?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173" w:type="dxa"/>
          </w:tcPr>
          <w:p w:rsidR="00AC38C7" w:rsidRPr="00AC38C7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meaning of the definite article?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meaning of the indefinite article?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Which type of stem structure includes prepositions such as by means of, instead of, and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accordance with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cases do some Ukrainian prepositions require when used with nouns?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preposition(s) require(s) the dative case?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allomorphic feature in the contrasted languages is.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0"/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Abranch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typology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investigated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aims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singling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such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phenomena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common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languages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. ..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role of typology in linguistics?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allomorphic feature in the contrasted languages is. 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widowControl w:val="0"/>
              <w:tabs>
                <w:tab w:val="left" w:pos="0"/>
                <w:tab w:val="left" w:pos="567"/>
                <w:tab w:val="left" w:pos="708"/>
                <w:tab w:val="left" w:pos="1415"/>
                <w:tab w:val="left" w:pos="2123"/>
                <w:tab w:val="left" w:pos="2830"/>
                <w:tab w:val="left" w:pos="3538"/>
                <w:tab w:val="left" w:pos="4245"/>
                <w:tab w:val="left" w:pos="4953"/>
                <w:tab w:val="left" w:pos="5660"/>
                <w:tab w:val="left" w:pos="6368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  <w:tab w:val="left" w:pos="14858"/>
                <w:tab w:val="left" w:pos="15565"/>
                <w:tab w:val="left" w:pos="16273"/>
                <w:tab w:val="left" w:pos="16980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grammatical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categories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nouns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functions may nouns express in Ukrainian and in English?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Aword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that functions as the name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ofFspecific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object or set of objects, such as living creatures, places, actions, qualities, states of existence, or ideas.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Abstract nouns and proper nouns are always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………,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 common nouns and concrete nouns have the category of ……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……………. express the relation towards the object, towards the time, towards the place, towards the state and feature.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is the category of the degrees of comparison of adjectives expressed in English?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Pronoun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asFpart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speech correlates in English and Ukrainian with the following parts of speech as their deictic substitutes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what level of the language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subjunctive mood in Ukrainian expressed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 degree of comparison in the English and Ukrainian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isF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category. </w:t>
            </w:r>
          </w:p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grammatical categories have the English pronouns?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what language level are the degree of comparison of adverbs expressed in English?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Substantional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comparison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enlargement of component parts through the co-ordinate catenation of homogeneous elements/parts of the sentence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referred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as.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grammatical categories do the English adverbs have?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principal distinguishing feature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characterising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</w:t>
            </w: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sentence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asFuniversal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language unit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is. ..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Ukrainian language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hasFmodel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syntagmemes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expressing the secondary predication. 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Verbal word-groups are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English and Ukrainian by some allomorphic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such as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Adjectival word-groups are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characterised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English and Ukrainian by some isomorphic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featues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such as</w:t>
            </w:r>
          </w:p>
        </w:tc>
      </w:tr>
      <w:tr w:rsidR="00AC38C7" w:rsidRPr="007E122A" w:rsidTr="008C2102">
        <w:tc>
          <w:tcPr>
            <w:tcW w:w="822" w:type="dxa"/>
          </w:tcPr>
          <w:p w:rsidR="00AC38C7" w:rsidRPr="00E03C05" w:rsidRDefault="00AC38C7" w:rsidP="00AC3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E0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AC38C7" w:rsidRPr="00183B0A" w:rsidRDefault="00AC38C7" w:rsidP="00AC38C7">
            <w:pPr>
              <w:pStyle w:val="a5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  <w:proofErr w:type="gram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wordgroups</w:t>
            </w:r>
            <w:proofErr w:type="spellEnd"/>
            <w:r w:rsidRPr="00183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singled out in the sentence and comprise the subject and the predicate. 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50941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251BB"/>
    <w:rsid w:val="00140920"/>
    <w:rsid w:val="00142B23"/>
    <w:rsid w:val="001454AE"/>
    <w:rsid w:val="00170375"/>
    <w:rsid w:val="001A05A9"/>
    <w:rsid w:val="001A410D"/>
    <w:rsid w:val="001A764C"/>
    <w:rsid w:val="001A7EAE"/>
    <w:rsid w:val="001C184E"/>
    <w:rsid w:val="001F0DB2"/>
    <w:rsid w:val="001F405F"/>
    <w:rsid w:val="002349E3"/>
    <w:rsid w:val="00243A8F"/>
    <w:rsid w:val="00266602"/>
    <w:rsid w:val="002C4809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3706A"/>
    <w:rsid w:val="00496DC7"/>
    <w:rsid w:val="004B5AA0"/>
    <w:rsid w:val="004B7444"/>
    <w:rsid w:val="004B7FF0"/>
    <w:rsid w:val="004D12D2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91DD0"/>
    <w:rsid w:val="005A170F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2D64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C5635"/>
    <w:rsid w:val="007D221B"/>
    <w:rsid w:val="007E122A"/>
    <w:rsid w:val="007E422B"/>
    <w:rsid w:val="007E44FC"/>
    <w:rsid w:val="007E6289"/>
    <w:rsid w:val="00811579"/>
    <w:rsid w:val="0082103E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641FC"/>
    <w:rsid w:val="0097512C"/>
    <w:rsid w:val="0097613D"/>
    <w:rsid w:val="00977ABA"/>
    <w:rsid w:val="00981DCC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9402A"/>
    <w:rsid w:val="00AA7C43"/>
    <w:rsid w:val="00AB4F19"/>
    <w:rsid w:val="00AB5BB5"/>
    <w:rsid w:val="00AC38C7"/>
    <w:rsid w:val="00AD5FDE"/>
    <w:rsid w:val="00AD6F01"/>
    <w:rsid w:val="00B04783"/>
    <w:rsid w:val="00B60F91"/>
    <w:rsid w:val="00B64532"/>
    <w:rsid w:val="00B70D02"/>
    <w:rsid w:val="00B86DC4"/>
    <w:rsid w:val="00B91627"/>
    <w:rsid w:val="00B94B1A"/>
    <w:rsid w:val="00BB63DD"/>
    <w:rsid w:val="00BD0095"/>
    <w:rsid w:val="00BD218A"/>
    <w:rsid w:val="00BE27EF"/>
    <w:rsid w:val="00BE7678"/>
    <w:rsid w:val="00BF4865"/>
    <w:rsid w:val="00C05F2E"/>
    <w:rsid w:val="00C11E81"/>
    <w:rsid w:val="00C25ECE"/>
    <w:rsid w:val="00C405A1"/>
    <w:rsid w:val="00C47C65"/>
    <w:rsid w:val="00CC6D3C"/>
    <w:rsid w:val="00CC70C3"/>
    <w:rsid w:val="00CE12F7"/>
    <w:rsid w:val="00CE4C24"/>
    <w:rsid w:val="00CE7B88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1B5B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AC38C7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6">
    <w:name w:val="Hyperlink"/>
    <w:semiHidden/>
    <w:rsid w:val="005A2123"/>
    <w:rPr>
      <w:color w:val="0000FF"/>
      <w:u w:val="single"/>
    </w:rPr>
  </w:style>
  <w:style w:type="character" w:styleId="a7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3">
    <w:name w:val="Body Text 3"/>
    <w:basedOn w:val="a"/>
    <w:link w:val="30"/>
    <w:semiHidden/>
    <w:rsid w:val="00981DCC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981DCC"/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b">
    <w:name w:val="b"/>
    <w:basedOn w:val="a1"/>
    <w:rsid w:val="00981DCC"/>
  </w:style>
  <w:style w:type="character" w:styleId="a8">
    <w:name w:val="Emphasis"/>
    <w:qFormat/>
    <w:locked/>
    <w:rsid w:val="001A410D"/>
    <w:rPr>
      <w:i/>
      <w:iCs/>
    </w:rPr>
  </w:style>
  <w:style w:type="paragraph" w:customStyle="1" w:styleId="Default">
    <w:name w:val="Default"/>
    <w:rsid w:val="001A4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1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rite-In">
    <w:name w:val="Write-In"/>
    <w:basedOn w:val="a"/>
    <w:next w:val="a"/>
    <w:rsid w:val="001A410D"/>
    <w:pPr>
      <w:keepNext/>
      <w:spacing w:after="120" w:line="36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11">
    <w:name w:val="Абзац списка1"/>
    <w:basedOn w:val="a"/>
    <w:rsid w:val="007E6289"/>
    <w:pPr>
      <w:suppressAutoHyphens/>
      <w:spacing w:after="200" w:line="252" w:lineRule="auto"/>
      <w:ind w:left="720"/>
      <w:contextualSpacing/>
    </w:pPr>
    <w:rPr>
      <w:lang w:eastAsia="zh-CN"/>
    </w:rPr>
  </w:style>
  <w:style w:type="character" w:styleId="aa">
    <w:name w:val="Strong"/>
    <w:qFormat/>
    <w:locked/>
    <w:rsid w:val="007E6289"/>
    <w:rPr>
      <w:b/>
      <w:bCs/>
    </w:rPr>
  </w:style>
  <w:style w:type="paragraph" w:styleId="a0">
    <w:name w:val="Body Text"/>
    <w:basedOn w:val="a"/>
    <w:link w:val="ab"/>
    <w:rsid w:val="007E6289"/>
    <w:pPr>
      <w:suppressAutoHyphens/>
      <w:spacing w:after="140" w:line="276" w:lineRule="auto"/>
    </w:pPr>
    <w:rPr>
      <w:lang w:eastAsia="zh-CN"/>
    </w:rPr>
  </w:style>
  <w:style w:type="character" w:customStyle="1" w:styleId="ab">
    <w:name w:val="Основний текст Знак"/>
    <w:link w:val="a0"/>
    <w:qFormat/>
    <w:rsid w:val="007E6289"/>
    <w:rPr>
      <w:rFonts w:cs="Calibri"/>
      <w:sz w:val="22"/>
      <w:szCs w:val="22"/>
      <w:lang w:eastAsia="zh-CN"/>
    </w:rPr>
  </w:style>
  <w:style w:type="paragraph" w:customStyle="1" w:styleId="12">
    <w:name w:val="Обычный1"/>
    <w:qFormat/>
    <w:rsid w:val="00AC38C7"/>
    <w:pPr>
      <w:suppressAutoHyphens/>
    </w:pPr>
    <w:rPr>
      <w:rFonts w:cs="Calibri"/>
      <w:lang w:val="en-US" w:eastAsia="zh-CN"/>
    </w:rPr>
  </w:style>
  <w:style w:type="character" w:customStyle="1" w:styleId="10">
    <w:name w:val="Заголовок 1 Знак"/>
    <w:link w:val="1"/>
    <w:rsid w:val="00AC38C7"/>
    <w:rPr>
      <w:rFonts w:ascii="Liberation Serif" w:eastAsia="Segoe UI" w:hAnsi="Liberation Serif" w:cs="Tahoma"/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8672</Words>
  <Characters>4944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34</cp:revision>
  <dcterms:created xsi:type="dcterms:W3CDTF">2018-11-14T08:09:00Z</dcterms:created>
  <dcterms:modified xsi:type="dcterms:W3CDTF">2024-03-12T13:33:00Z</dcterms:modified>
</cp:coreProperties>
</file>