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rtl w:val="0"/>
        </w:rPr>
        <w:t>SEMINAR 5</w:t>
      </w:r>
    </w:p>
    <w:p>
      <w:pPr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</w:p>
    <w:p>
      <w:pPr>
        <w:jc w:val="left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rtl w:val="0"/>
        </w:rPr>
        <w:t>1. Choose the topic for your presentation, write your name</w:t>
      </w:r>
    </w:p>
    <w:p>
      <w:pPr>
        <w:jc w:val="left"/>
        <w:rPr>
          <w:rFonts w:hint="default" w:ascii="Times New Roman" w:hAnsi="Times New Roman" w:eastAsia="Times New Roman" w:cs="Times New Roman"/>
          <w:b/>
          <w:sz w:val="26"/>
          <w:szCs w:val="26"/>
          <w:lang w:val="pl-PL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rtl w:val="0"/>
        </w:rPr>
        <w:t>2. Upload on the date of seminar into the group folder</w:t>
      </w:r>
      <w:r>
        <w:rPr>
          <w:rFonts w:hint="default" w:ascii="Times New Roman" w:hAnsi="Times New Roman" w:eastAsia="Times New Roman" w:cs="Times New Roman"/>
          <w:b/>
          <w:sz w:val="26"/>
          <w:szCs w:val="26"/>
          <w:rtl w:val="0"/>
          <w:lang w:val="pl-PL"/>
        </w:rPr>
        <w:t>.</w:t>
      </w:r>
    </w:p>
    <w:p>
      <w:pPr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</w:p>
    <w:tbl>
      <w:tblPr>
        <w:tblStyle w:val="13"/>
        <w:tblW w:w="9630" w:type="dxa"/>
        <w:tblInd w:w="-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1470"/>
        <w:gridCol w:w="4950"/>
        <w:gridCol w:w="32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90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Seminar questions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Students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1.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240" w:after="24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Factors facilitating the typological study of lexicon in the contrasted languages.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2.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240" w:after="24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The semiotic classification of lexicon in the contrasted languages.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876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3.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240" w:after="24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Semiotic superclasses of words.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4.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240" w:after="24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Socially distinguished classes of words in English and Ukrainian.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5.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240" w:after="24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Onomasiological characteristics of lexicon in English and Ukrainian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 xml:space="preserve">6. 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240" w:after="24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Semasiological characteristics of lexicon in English and Ukrainian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7.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240" w:after="24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Functional classification of vocabulary in English and Ukrainian.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8.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240" w:after="24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Lexical semantic groups and the study of synonyms in the contrasted languages.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9.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240" w:after="24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Stylistic classification of vocabulary in English and Ukrainian.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10. 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240" w:after="24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Nationally specific lexicon in the contrasted languages.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11. 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240" w:after="24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Borrowings in the contrasted languages.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12.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240" w:after="24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Neologisms in the contrasted languages.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spacing w:before="24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Recommended literature</w:t>
      </w:r>
    </w:p>
    <w:p>
      <w:pPr>
        <w:spacing w:befor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1. Верба Л. Г. Порівняльна лексикологія англійської та української мов. – Вінниця: Нова книга, 2003. – 160 с.</w:t>
      </w:r>
    </w:p>
    <w:p>
      <w:pPr>
        <w:spacing w:befor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2. Ващенко В. С. Українська семасіологія: Типологія лексичних значень. – Дніпропетровськ, 1981. – 67 с.</w:t>
      </w:r>
    </w:p>
    <w:p>
      <w:pPr>
        <w:spacing w:befor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3. Грищенко А. П. Сучасна українська літературна мова. – К. : Вища шк., 1997. – 492 с.</w:t>
      </w:r>
    </w:p>
    <w:p>
      <w:pPr>
        <w:spacing w:befor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4. Деменчук О. В. Порівняльна лексикологія української та англійської мов. – Рівне: Перспектива, 2005. – 165 с.</w:t>
      </w:r>
    </w:p>
    <w:p>
      <w:pPr>
        <w:spacing w:befor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5. Мостовий І. М. Лексикологія англійської мови. – Х : Основи, 1993. – 255 с.</w:t>
      </w:r>
    </w:p>
    <w:p>
      <w:pPr>
        <w:spacing w:befor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6. Andreichuk N.I., Babeliuk O.A. Contrastive lexicology of English and Ukrainian languages: theory and practice : textbook / N.I. Andreichuk, O.A. Babeliuk. – Kherson: Publishing House “Helvetica”, 2019. – 236 с.</w:t>
      </w:r>
    </w:p>
    <w:p>
      <w:pPr>
        <w:spacing w:befor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7. Korunets I.V. Contrastive Typology of the English and Ukrainian Languages. Вінниця: «Нова книга», 2004. P. 179–192.</w:t>
      </w:r>
    </w:p>
    <w:p>
      <w:pPr>
        <w:spacing w:before="240"/>
        <w:jc w:val="both"/>
        <w:rPr>
          <w:rFonts w:ascii="Arial" w:hAnsi="Arial" w:eastAsia="Arial" w:cs="Arial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8. N. Evans and Stephen C. Levinson „The myth of language universals: Language diversity and its importance for cognitive science”. Mode of access: http://www.mpi.nl/Members/StephenLevinson Published in BEHAVIORAL AND BRAIN SCIENCES (2009) 32, 429– 492</w:t>
      </w:r>
      <w:r>
        <w:rPr>
          <w:rFonts w:ascii="Arial" w:hAnsi="Arial" w:eastAsia="Arial" w:cs="Arial"/>
          <w:rtl w:val="0"/>
        </w:rPr>
        <w:t>.</w:t>
      </w:r>
    </w:p>
    <w:sectPr>
      <w:pgSz w:w="11906" w:h="16838"/>
      <w:pgMar w:top="1134" w:right="1134" w:bottom="1134" w:left="1134" w:header="0" w:footer="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panose1 w:val="02020603050405020304"/>
    <w:charset w:val="86"/>
    <w:family w:val="auto"/>
    <w:pitch w:val="default"/>
    <w:sig w:usb0="E0000AFF" w:usb1="500078FF" w:usb2="00000021" w:usb3="00000000" w:csb0="600001BF" w:csb1="DFF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39D269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Liberation Serif" w:cs="Liberation Serif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Liberation Serif" w:hAnsi="Liberation Serif" w:eastAsia="Liberation Serif" w:cs="Liberation Serif"/>
      <w:sz w:val="24"/>
      <w:szCs w:val="24"/>
      <w:lang w:val="ru-RU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qFormat/>
    <w:uiPriority w:val="0"/>
    <w:tblPr>
      <w:tblCellMar>
        <w:top w:w="55" w:type="dxa"/>
        <w:left w:w="50" w:type="dxa"/>
        <w:bottom w:w="55" w:type="dxa"/>
        <w:right w:w="5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2024-03-08T19:07:18Z</dcterms:created>
  <dc:creator>W</dc:creator>
  <cp:lastModifiedBy>irena snikhovska</cp:lastModifiedBy>
  <dcterms:modified xsi:type="dcterms:W3CDTF">2024-03-08T19:08:06Z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7763DCF5F8284B4F9AA610B39A2D83BF_12</vt:lpwstr>
  </property>
</Properties>
</file>