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17D" w:rsidRPr="00EE2AD7" w:rsidRDefault="00783C7F" w:rsidP="00783C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2AD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7</w:t>
      </w:r>
    </w:p>
    <w:p w:rsidR="00783C7F" w:rsidRPr="00EE2AD7" w:rsidRDefault="00783C7F" w:rsidP="00783C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3C7F" w:rsidRPr="00F16269" w:rsidRDefault="00783C7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62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proofErr w:type="spellStart"/>
      <w:r w:rsidR="000D6C10" w:rsidRPr="00F1626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Конкурентоспромо́жність</w:t>
      </w:r>
      <w:proofErr w:type="spellEnd"/>
      <w:r w:rsidR="000D6C10" w:rsidRPr="00F162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626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товару</w:t>
      </w:r>
    </w:p>
    <w:p w:rsidR="00EE2AD7" w:rsidRPr="00EE2AD7" w:rsidRDefault="00EE2A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2AD7" w:rsidRDefault="00EE2AD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E2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AD7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1.</w:t>
      </w:r>
    </w:p>
    <w:p w:rsidR="000D6C10" w:rsidRPr="00EE2AD7" w:rsidRDefault="000D6C1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E2AD7" w:rsidRPr="00EE2AD7" w:rsidRDefault="00EE2AD7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EE2AD7">
        <w:rPr>
          <w:rFonts w:ascii="Times New Roman" w:hAnsi="Times New Roman" w:cs="Times New Roman"/>
          <w:sz w:val="28"/>
          <w:szCs w:val="28"/>
          <w:lang w:val="uk-UA"/>
        </w:rPr>
        <w:t>Визначте про яке поняття йдеться:</w:t>
      </w:r>
    </w:p>
    <w:p w:rsidR="00EE2AD7" w:rsidRPr="00EE2AD7" w:rsidRDefault="00EE2AD7" w:rsidP="00EE2AD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E2AD7">
        <w:rPr>
          <w:color w:val="000000"/>
          <w:sz w:val="28"/>
          <w:szCs w:val="28"/>
        </w:rPr>
        <w:t>a) ______________ — процес планування, забезпечення необхідного рівня і підвищення конкурентоспроможності продукції за допомогою цілеспрямованого впливу на умови і чинники, що формують конкурентоспроможність;</w:t>
      </w:r>
    </w:p>
    <w:p w:rsidR="00EE2AD7" w:rsidRPr="00EE2AD7" w:rsidRDefault="00EE2AD7" w:rsidP="00EE2AD7">
      <w:pPr>
        <w:pStyle w:val="NormalWeb"/>
        <w:spacing w:before="0" w:beforeAutospacing="0" w:after="0" w:afterAutospacing="0"/>
        <w:ind w:left="1" w:firstLine="719"/>
        <w:jc w:val="both"/>
        <w:rPr>
          <w:color w:val="000000"/>
          <w:sz w:val="28"/>
          <w:szCs w:val="28"/>
        </w:rPr>
      </w:pPr>
      <w:r w:rsidRPr="00EE2AD7">
        <w:rPr>
          <w:color w:val="000000"/>
          <w:sz w:val="28"/>
          <w:szCs w:val="28"/>
        </w:rPr>
        <w:t>b) ______________ — сукупність властивостей і характеристик продукції та послуг, що зумовлюють їхню здатність задовольняти встановлені й передбачувані потреби;</w:t>
      </w:r>
    </w:p>
    <w:p w:rsidR="00EE2AD7" w:rsidRPr="00EE2AD7" w:rsidRDefault="00EE2AD7" w:rsidP="00EE2AD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E2AD7">
        <w:rPr>
          <w:color w:val="000000"/>
          <w:sz w:val="28"/>
          <w:szCs w:val="28"/>
        </w:rPr>
        <w:t>c) ______________ — передбачає одночасне врахування різних аспектів управління конкурентоспроможністю продукції;</w:t>
      </w:r>
    </w:p>
    <w:p w:rsidR="00EE2AD7" w:rsidRDefault="00EE2AD7" w:rsidP="00EE2AD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E2AD7">
        <w:rPr>
          <w:color w:val="000000"/>
          <w:sz w:val="28"/>
          <w:szCs w:val="28"/>
        </w:rPr>
        <w:t>d) ______________ — зорієнтований на використання і підсилення взаємозв’язків між: окремими підсистемами й елементами системи управління конкурентоспроможністю продукції, стадіями життєвого циклу об’єкта управління, рівнями управління по вертикалі, суб’єктами управління по горизонталі.</w:t>
      </w:r>
    </w:p>
    <w:p w:rsidR="00EE2AD7" w:rsidRDefault="00EE2AD7" w:rsidP="00EE2AD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E2AD7" w:rsidRPr="00EE2AD7" w:rsidRDefault="00EE2AD7" w:rsidP="000D6C1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uk-UA"/>
        </w:rPr>
      </w:pPr>
      <w:r w:rsidRPr="00EE2AD7">
        <w:rPr>
          <w:color w:val="000000"/>
          <w:sz w:val="28"/>
          <w:szCs w:val="28"/>
          <w:u w:val="single"/>
          <w:lang w:val="uk-UA"/>
        </w:rPr>
        <w:t>Завдання 2.</w:t>
      </w:r>
    </w:p>
    <w:p w:rsidR="00EE2AD7" w:rsidRPr="000D6C10" w:rsidRDefault="000D6C10" w:rsidP="000D6C10">
      <w:pPr>
        <w:pStyle w:val="NormalWeb"/>
        <w:ind w:firstLine="720"/>
        <w:rPr>
          <w:sz w:val="28"/>
          <w:szCs w:val="28"/>
        </w:rPr>
      </w:pPr>
      <w:r w:rsidRPr="00BA4E29">
        <w:rPr>
          <w:sz w:val="28"/>
          <w:szCs w:val="28"/>
        </w:rPr>
        <w:t xml:space="preserve">Охарактеризуйте вищий навчальний заклад, у якому ви навчаєтеся. Назвіть його конкурентні переваги. </w:t>
      </w:r>
    </w:p>
    <w:p w:rsidR="009C3FBE" w:rsidRPr="000D6C10" w:rsidRDefault="009C3FB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Завдання </w:t>
      </w:r>
      <w:r w:rsidR="00EE2AD7" w:rsidRPr="000D6C10">
        <w:rPr>
          <w:rFonts w:ascii="Times New Roman" w:hAnsi="Times New Roman" w:cs="Times New Roman"/>
          <w:sz w:val="28"/>
          <w:szCs w:val="28"/>
          <w:u w:val="single"/>
          <w:lang w:val="uk-UA"/>
        </w:rPr>
        <w:t>3.</w:t>
      </w:r>
      <w:r w:rsidR="00EE2AD7" w:rsidRPr="000D6C1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</w:t>
      </w:r>
    </w:p>
    <w:p w:rsidR="008B74EE" w:rsidRPr="000D6C10" w:rsidRDefault="009958F1" w:rsidP="00EE2A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>Ситуаційна задача.</w:t>
      </w:r>
    </w:p>
    <w:p w:rsidR="009958F1" w:rsidRPr="000D6C10" w:rsidRDefault="009958F1" w:rsidP="00EE2AD7">
      <w:pPr>
        <w:pStyle w:val="NormalWeb"/>
        <w:ind w:firstLine="720"/>
        <w:rPr>
          <w:sz w:val="28"/>
          <w:szCs w:val="28"/>
        </w:rPr>
      </w:pPr>
      <w:r w:rsidRPr="000D6C10">
        <w:rPr>
          <w:sz w:val="28"/>
          <w:szCs w:val="28"/>
        </w:rPr>
        <w:t xml:space="preserve">За традиційної моделі функціонування меблевої галузі громізд- кість меблевих виробів, потреба у великих приміщеннях для їх зберігання та незручність перевезення зумовлюють переважно локальний характер її та розрив у часі між замовленням і достав- кою меблевих виробів до споживачів. </w:t>
      </w:r>
    </w:p>
    <w:p w:rsidR="009958F1" w:rsidRPr="000D6C10" w:rsidRDefault="009958F1" w:rsidP="00EE2AD7">
      <w:pPr>
        <w:pStyle w:val="NormalWeb"/>
        <w:ind w:firstLine="720"/>
        <w:rPr>
          <w:sz w:val="28"/>
          <w:szCs w:val="28"/>
        </w:rPr>
      </w:pPr>
      <w:r w:rsidRPr="000D6C10">
        <w:rPr>
          <w:sz w:val="28"/>
          <w:szCs w:val="28"/>
        </w:rPr>
        <w:t xml:space="preserve">Компанія IKEA запропонувала принципово іншу модель взає- модії «виробник — споживач», згідно з якою меблевий виріб яв- ляє собою набір компактно упакованих у картонну коробку ком- понентів, що дає можливість виробникові виготовляти меблеві вироби в одній країні і продавати їх — в інших, а покупцеві від- разу ж після оплати забирати продукцію й відносно легко склада- ти з компонентів необхідний меблевий виріб. </w:t>
      </w:r>
    </w:p>
    <w:p w:rsidR="009958F1" w:rsidRPr="000D6C10" w:rsidRDefault="009958F1" w:rsidP="00EE2AD7">
      <w:pPr>
        <w:pStyle w:val="NormalWeb"/>
        <w:ind w:firstLine="720"/>
        <w:rPr>
          <w:sz w:val="28"/>
          <w:szCs w:val="28"/>
        </w:rPr>
      </w:pPr>
      <w:r w:rsidRPr="000D6C10">
        <w:rPr>
          <w:sz w:val="28"/>
          <w:szCs w:val="28"/>
          <w:u w:val="single"/>
        </w:rPr>
        <w:lastRenderedPageBreak/>
        <w:t xml:space="preserve">Завдання. </w:t>
      </w:r>
      <w:r w:rsidRPr="000D6C10">
        <w:rPr>
          <w:sz w:val="28"/>
          <w:szCs w:val="28"/>
        </w:rPr>
        <w:t>Оцініть ситуацію та обґрунтуйте відмінності з по- зицій архітектури ланцюга цінностей у рамках традиційної мод</w:t>
      </w:r>
      <w:r w:rsidRPr="000D6C10">
        <w:rPr>
          <w:sz w:val="28"/>
          <w:szCs w:val="28"/>
          <w:lang w:val="uk-UA"/>
        </w:rPr>
        <w:t>е</w:t>
      </w:r>
      <w:r w:rsidRPr="000D6C10">
        <w:rPr>
          <w:sz w:val="28"/>
          <w:szCs w:val="28"/>
        </w:rPr>
        <w:t xml:space="preserve">лі та моделі компанії IKEA. Які саме операційні процеси і топ- характеристики компанії IKEA, на Вашу думку, сприяють фор- муванню більш вигідної структури витрат і оптимізації ресурс- них джерел виробництва меблів? </w:t>
      </w:r>
    </w:p>
    <w:p w:rsidR="00EE2AD7" w:rsidRPr="000D6C10" w:rsidRDefault="00EE2AD7" w:rsidP="00EE2AD7">
      <w:pPr>
        <w:pStyle w:val="NormalWeb"/>
        <w:rPr>
          <w:sz w:val="28"/>
          <w:szCs w:val="28"/>
          <w:lang w:val="uk-UA"/>
        </w:rPr>
      </w:pPr>
      <w:r w:rsidRPr="000D6C10">
        <w:rPr>
          <w:sz w:val="28"/>
          <w:szCs w:val="28"/>
          <w:u w:val="single"/>
          <w:lang w:val="uk-UA"/>
        </w:rPr>
        <w:t>Завдання 4</w:t>
      </w:r>
      <w:r w:rsidRPr="000D6C10">
        <w:rPr>
          <w:sz w:val="28"/>
          <w:szCs w:val="28"/>
          <w:lang w:val="uk-UA"/>
        </w:rPr>
        <w:t>.</w:t>
      </w:r>
    </w:p>
    <w:p w:rsidR="00503BBF" w:rsidRPr="000D6C10" w:rsidRDefault="00503BBF" w:rsidP="00EE2AD7">
      <w:pPr>
        <w:pStyle w:val="NormalWeb"/>
        <w:jc w:val="center"/>
        <w:rPr>
          <w:sz w:val="28"/>
          <w:szCs w:val="28"/>
          <w:lang w:val="uk-UA"/>
        </w:rPr>
      </w:pPr>
      <w:r w:rsidRPr="000D6C10">
        <w:rPr>
          <w:sz w:val="28"/>
          <w:szCs w:val="28"/>
          <w:lang w:val="uk-UA"/>
        </w:rPr>
        <w:t>Ситуаційна задача.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Генрі Форд і Альфред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Слоун-молодшии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були видатними керівниками. Вони протистояли один одному у 20-х роках, коли вперше виникла концепція управління як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професіі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 та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науковоі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̈ дисципліни.</w:t>
      </w:r>
      <w:r w:rsidRPr="000D6C10">
        <w:rPr>
          <w:rFonts w:ascii="Times New Roman" w:hAnsi="Times New Roman" w:cs="Times New Roman"/>
          <w:sz w:val="28"/>
          <w:szCs w:val="28"/>
        </w:rPr>
        <w:t xml:space="preserve"> </w:t>
      </w: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Форд був автократом в управлінні. На фірмі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 лише він міг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прийняти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рішення. Загальні принципи Форда були підсумовані в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одніи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фразі: «Будь-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якии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покупець може одержати автомобіль будь-якого кольору, якщо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цеи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колір -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чорнии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̆» («Форд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» випускала автомобілі виключно чорного кольору).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Форд скептично поставився до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пропозиціі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Слоуна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про реорганізацію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компаніі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̈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». Але у Форда було достатньо підстав насміхатися над новомодними ідеями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Слоуна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для фірми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». Форд зробив свою модель «Ті» настільки дешевою, що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їі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 міг купити практично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кожнии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̆, хто працює.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Приблизно за 12 років Форд перетворив маленьку компанію в гігантську галузь, яка змінила американське суспільство. Більше того, він зробив це, зрозумівши, як побудувати автомобіль,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якии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коштував всього 290 доларів, і при цьому виплачував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своїм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робітникам одну з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найбільших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ставок того часу – 5 доларів за тиждень. У 1921 році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 контролювала 56 відсотків ринку легкових автомобілів США і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майже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весь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світовии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ринок. Фірма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», яка на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тои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час була конгломератом із кількох невеликих напівзалежних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компаніи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̆, контролювала лише 13 відсотків ринку і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дрейфувала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до банкрутства.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На щастя, сім'я Дюпонів, заради спасіння величезних коштів, що були вкладені в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акціі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̈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», взяла на себе ведення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їі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 справ, поки крах не настав. П'єр Дюпон, сам прихильник сучасного управління, призначив президентом фірми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Слоуна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Тои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швидко перетворив на реальність плани, з яких глузував Форд. Реорганізована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 мала сильну і велику групу управління, а багато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людеи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здобули права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самостійно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приймати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рішення. Улюбленими словами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Слоуна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були «концепція», «методологія», «раціональність». На кожного керівника він покладав конкретні обов'язки, надавши водночас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йому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свободу робити все, що необхідно для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їх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Тоді як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 зберігала вірність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чорніи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моделі «Ті» і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традиціі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̈, згідно з якою бос командує, а всі інші виконують, управлінська команда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Слоуна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швидко реалізувала нові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концепціі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̈, що відповідали новим потребам американців. Фірма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 ввела в практику часті заміни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моделеи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̆, пропонуючи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широкии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асортимент стильових і кольорових оформлень та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доступнии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кредит.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Частка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 на ринку різко знизилась, 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рейтинг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їі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 керівників сильно зменшився. У 1927 році фірма змушена була зупинити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складальнии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конвеєр, щоб переобладнати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його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під випуск дуже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запізнілоі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̈ моделі «А». Це дало змогу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» захопити 43,5 відсотка автомобільного ринку, залишивши Форду менше, ніж 10 відсотків.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жорсткии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урок, Форд так і не зміг прозріти. Замість того, щоб вчитися на досвіді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», він продовжував працювати по-старому. Протягом наступних 20-ти років фірма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 ледве утримувалась на третьому місті в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автомобільніи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промисловості і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майже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щороку втрачала гроші. Від банкрутства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їі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 врятувало лише звернення до резерву готівки в 1 млрд. доларів,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якии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Форд накопичив за кращих часів.</w:t>
      </w:r>
    </w:p>
    <w:p w:rsidR="00503BBF" w:rsidRPr="000D6C10" w:rsidRDefault="00503BBF" w:rsidP="000D6C1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Питання до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u w:val="single"/>
          <w:lang w:val="uk-UA"/>
        </w:rPr>
        <w:t>ситуаціі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u w:val="single"/>
          <w:lang w:val="uk-UA"/>
        </w:rPr>
        <w:t>̈</w:t>
      </w:r>
    </w:p>
    <w:p w:rsidR="00503BBF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1 У чому були схожі і відмінні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місіі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компаніи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» та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503BBF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>2 Які внутрішні та зовнішні фактори сприяли успіху двох фірм?</w:t>
      </w:r>
    </w:p>
    <w:p w:rsidR="00503BBF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3 Які фактори сприяли занепаду фірми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503BBF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4 Яка стратегія була обрана Фордом і яка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Слоуном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03BBF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5 Хоча й на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сьогоднішніи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день фірма «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03BBF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більша, ніж «Форд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Моторс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», обидві вони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сконструйовані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і управляються однаково. Чому це так?</w:t>
      </w:r>
    </w:p>
    <w:p w:rsidR="000D6C10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6 Хто був кращим менеджером – Форд чи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Слоун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? Чому?</w:t>
      </w:r>
    </w:p>
    <w:p w:rsidR="000D6C10" w:rsidRPr="000D6C10" w:rsidRDefault="000D6C10" w:rsidP="00503B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C10" w:rsidRPr="000D6C10" w:rsidRDefault="000D6C10" w:rsidP="00503BB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5.</w:t>
      </w:r>
    </w:p>
    <w:p w:rsidR="00503BBF" w:rsidRPr="000D6C10" w:rsidRDefault="00503BBF" w:rsidP="00503B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3BBF" w:rsidRPr="000D6C10" w:rsidRDefault="00503BBF" w:rsidP="000D6C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6C10">
        <w:rPr>
          <w:rFonts w:ascii="Times New Roman" w:hAnsi="Times New Roman" w:cs="Times New Roman"/>
          <w:sz w:val="28"/>
          <w:szCs w:val="28"/>
          <w:lang w:val="uk-UA"/>
        </w:rPr>
        <w:t>Ситуаційна вправа.</w:t>
      </w:r>
    </w:p>
    <w:p w:rsidR="00503BBF" w:rsidRPr="000D6C10" w:rsidRDefault="00503BBF" w:rsidP="000D6C10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Вітчизнянии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̆ виробник електропобутового обладнання для кухні, зокрема електроплит, холодильників, морозильних камер та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посудомийних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 xml:space="preserve"> машин, відчуває </w:t>
      </w:r>
      <w:proofErr w:type="spellStart"/>
      <w:r w:rsidRPr="000D6C10">
        <w:rPr>
          <w:rFonts w:ascii="Times New Roman" w:hAnsi="Times New Roman" w:cs="Times New Roman"/>
          <w:sz w:val="28"/>
          <w:szCs w:val="28"/>
          <w:lang w:val="uk-UA"/>
        </w:rPr>
        <w:t>значнии</w:t>
      </w:r>
      <w:proofErr w:type="spellEnd"/>
      <w:r w:rsidRPr="000D6C10">
        <w:rPr>
          <w:rFonts w:ascii="Times New Roman" w:hAnsi="Times New Roman" w:cs="Times New Roman"/>
          <w:sz w:val="28"/>
          <w:szCs w:val="28"/>
          <w:lang w:val="uk-UA"/>
        </w:rPr>
        <w:t>̆ тиск з боку чужоземних конкурентів, таких як «ZANUSSI» та «INDESIT». Щоб бути конкурентоспроможним з такими відомими у світі фірмами, підприємство змушене насамперед удосконалити маркетингову політику.</w:t>
      </w:r>
    </w:p>
    <w:p w:rsidR="007F42D1" w:rsidRPr="000D6C10" w:rsidRDefault="007F42D1" w:rsidP="00503BB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2D1" w:rsidRPr="000D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5173E"/>
    <w:multiLevelType w:val="multilevel"/>
    <w:tmpl w:val="CD108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4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7F"/>
    <w:rsid w:val="000D6C10"/>
    <w:rsid w:val="00503BBF"/>
    <w:rsid w:val="00783C7F"/>
    <w:rsid w:val="007F42D1"/>
    <w:rsid w:val="00877230"/>
    <w:rsid w:val="008B74EE"/>
    <w:rsid w:val="009958F1"/>
    <w:rsid w:val="00997764"/>
    <w:rsid w:val="009C3FBE"/>
    <w:rsid w:val="00AE617D"/>
    <w:rsid w:val="00B044E6"/>
    <w:rsid w:val="00EE2AD7"/>
    <w:rsid w:val="00F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68E231-0352-AB4F-9015-0DCF383A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4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5</cp:revision>
  <dcterms:created xsi:type="dcterms:W3CDTF">2024-03-02T11:05:00Z</dcterms:created>
  <dcterms:modified xsi:type="dcterms:W3CDTF">2024-03-04T12:58:00Z</dcterms:modified>
</cp:coreProperties>
</file>