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22" w:rsidRDefault="00AB3122" w:rsidP="00AB3122">
      <w:pPr>
        <w:spacing w:line="240" w:lineRule="auto"/>
        <w:ind w:firstLine="720"/>
        <w:jc w:val="center"/>
        <w:rPr>
          <w:b/>
          <w:sz w:val="28"/>
          <w:szCs w:val="28"/>
          <w:lang w:val="uk-UA"/>
        </w:rPr>
      </w:pPr>
      <w:r w:rsidRPr="000100E3">
        <w:rPr>
          <w:b/>
          <w:sz w:val="28"/>
          <w:szCs w:val="28"/>
          <w:lang w:val="uk-UA"/>
        </w:rPr>
        <w:t>Індивідуальні завдання</w:t>
      </w:r>
    </w:p>
    <w:p w:rsidR="00AB3122" w:rsidRPr="000100E3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0100E3">
        <w:rPr>
          <w:sz w:val="28"/>
          <w:szCs w:val="28"/>
          <w:lang w:val="uk-UA"/>
        </w:rPr>
        <w:t xml:space="preserve">ндивідуальні завдання </w:t>
      </w:r>
      <w:r>
        <w:rPr>
          <w:sz w:val="28"/>
          <w:szCs w:val="28"/>
          <w:lang w:val="uk-UA"/>
        </w:rPr>
        <w:t>–</w:t>
      </w:r>
      <w:r w:rsidRPr="000100E3">
        <w:rPr>
          <w:sz w:val="28"/>
          <w:szCs w:val="28"/>
          <w:lang w:val="uk-UA"/>
        </w:rPr>
        <w:t xml:space="preserve"> вид роботи студентів</w:t>
      </w:r>
      <w:r>
        <w:rPr>
          <w:sz w:val="28"/>
          <w:szCs w:val="28"/>
          <w:lang w:val="uk-UA"/>
        </w:rPr>
        <w:t>, що</w:t>
      </w:r>
      <w:r w:rsidRPr="000100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виконує</w:t>
      </w:r>
      <w:r w:rsidRPr="000100E3">
        <w:rPr>
          <w:sz w:val="28"/>
          <w:szCs w:val="28"/>
          <w:lang w:val="uk-UA"/>
        </w:rPr>
        <w:t>ться самостійно.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0100E3">
        <w:rPr>
          <w:sz w:val="28"/>
          <w:szCs w:val="28"/>
          <w:lang w:val="uk-UA"/>
        </w:rPr>
        <w:t xml:space="preserve">Індивідуальні завдання виконує кожен студент шляхом підготовки творчої роботи з рекомендованим переліком тем. За потреби викладач консультує студента.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A0008">
        <w:rPr>
          <w:b/>
          <w:sz w:val="28"/>
          <w:szCs w:val="28"/>
          <w:lang w:val="uk-UA"/>
        </w:rPr>
        <w:t>Методичні вказівки</w:t>
      </w:r>
      <w:r w:rsidRPr="000100E3">
        <w:rPr>
          <w:sz w:val="28"/>
          <w:szCs w:val="28"/>
          <w:lang w:val="uk-UA"/>
        </w:rPr>
        <w:t xml:space="preserve"> щодо оформлення та написання творчої роботи з дисципліни</w:t>
      </w:r>
      <w:r>
        <w:rPr>
          <w:sz w:val="28"/>
          <w:szCs w:val="28"/>
          <w:lang w:val="uk-UA"/>
        </w:rPr>
        <w:t>.</w:t>
      </w:r>
    </w:p>
    <w:p w:rsidR="00AB3122" w:rsidRPr="000100E3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0100E3">
        <w:rPr>
          <w:sz w:val="28"/>
          <w:szCs w:val="28"/>
          <w:lang w:val="uk-UA"/>
        </w:rPr>
        <w:t>Перед написанням творчої роботи з конкретної теми курсу необхідно опрацювати наукову літературу, осмислити прочитане і викласти власні думки щодо порушеної проблем</w:t>
      </w:r>
      <w:r>
        <w:rPr>
          <w:sz w:val="28"/>
          <w:szCs w:val="28"/>
          <w:lang w:val="uk-UA"/>
        </w:rPr>
        <w:t>атики. Обсяг: 10–</w:t>
      </w:r>
      <w:r w:rsidRPr="000100E3">
        <w:rPr>
          <w:sz w:val="28"/>
          <w:szCs w:val="28"/>
          <w:lang w:val="uk-UA"/>
        </w:rPr>
        <w:t>12 сторінок (формат А-4).</w:t>
      </w:r>
    </w:p>
    <w:p w:rsidR="00AB3122" w:rsidRPr="006A0008" w:rsidRDefault="00AB3122" w:rsidP="00AB3122">
      <w:pPr>
        <w:spacing w:line="240" w:lineRule="auto"/>
        <w:ind w:firstLine="720"/>
        <w:rPr>
          <w:b/>
          <w:sz w:val="28"/>
          <w:szCs w:val="28"/>
          <w:lang w:val="uk-UA"/>
        </w:rPr>
      </w:pPr>
      <w:r w:rsidRPr="006A0008">
        <w:rPr>
          <w:b/>
          <w:sz w:val="28"/>
          <w:szCs w:val="28"/>
          <w:lang w:val="uk-UA"/>
        </w:rPr>
        <w:t>Структура та особливості викладу матеріалу</w:t>
      </w:r>
    </w:p>
    <w:p w:rsidR="00AB3122" w:rsidRPr="000100E3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9B0339">
        <w:rPr>
          <w:b/>
          <w:sz w:val="28"/>
          <w:szCs w:val="28"/>
          <w:lang w:val="uk-UA"/>
        </w:rPr>
        <w:t>Вступ.</w:t>
      </w:r>
      <w:r w:rsidRPr="000100E3">
        <w:rPr>
          <w:sz w:val="28"/>
          <w:szCs w:val="28"/>
          <w:lang w:val="uk-UA"/>
        </w:rPr>
        <w:t xml:space="preserve"> Цей компонент не потребує цитувань</w:t>
      </w:r>
      <w:r>
        <w:rPr>
          <w:sz w:val="28"/>
          <w:szCs w:val="28"/>
          <w:lang w:val="uk-UA"/>
        </w:rPr>
        <w:t xml:space="preserve"> та </w:t>
      </w:r>
      <w:r w:rsidRPr="000100E3">
        <w:rPr>
          <w:sz w:val="28"/>
          <w:szCs w:val="28"/>
          <w:lang w:val="uk-UA"/>
        </w:rPr>
        <w:t>великого обсягу.</w:t>
      </w:r>
    </w:p>
    <w:p w:rsidR="00AB3122" w:rsidRPr="000100E3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0100E3">
        <w:rPr>
          <w:sz w:val="28"/>
          <w:szCs w:val="28"/>
          <w:lang w:val="uk-UA"/>
        </w:rPr>
        <w:t xml:space="preserve">Обов’язково виокремити предмет опису, обґрунтувати тему, яка висвітлюється в </w:t>
      </w:r>
      <w:r>
        <w:rPr>
          <w:sz w:val="28"/>
          <w:szCs w:val="28"/>
          <w:lang w:val="uk-UA"/>
        </w:rPr>
        <w:t>роботі, в</w:t>
      </w:r>
      <w:r w:rsidRPr="000100E3">
        <w:rPr>
          <w:sz w:val="28"/>
          <w:szCs w:val="28"/>
          <w:lang w:val="uk-UA"/>
        </w:rPr>
        <w:t xml:space="preserve">казавши на </w:t>
      </w:r>
      <w:r>
        <w:rPr>
          <w:sz w:val="28"/>
          <w:szCs w:val="28"/>
          <w:lang w:val="uk-UA"/>
        </w:rPr>
        <w:t>авторів</w:t>
      </w:r>
      <w:r w:rsidRPr="000100E3">
        <w:rPr>
          <w:sz w:val="28"/>
          <w:szCs w:val="28"/>
          <w:lang w:val="uk-UA"/>
        </w:rPr>
        <w:t xml:space="preserve">, які </w:t>
      </w:r>
      <w:r>
        <w:rPr>
          <w:sz w:val="28"/>
          <w:szCs w:val="28"/>
          <w:lang w:val="uk-UA"/>
        </w:rPr>
        <w:t>працювали над даним питанням. О</w:t>
      </w:r>
      <w:r w:rsidRPr="000100E3">
        <w:rPr>
          <w:sz w:val="28"/>
          <w:szCs w:val="28"/>
          <w:lang w:val="uk-UA"/>
        </w:rPr>
        <w:t xml:space="preserve">бсяг вступу не </w:t>
      </w:r>
      <w:r>
        <w:rPr>
          <w:sz w:val="28"/>
          <w:szCs w:val="28"/>
          <w:lang w:val="uk-UA"/>
        </w:rPr>
        <w:t>повинен перевищувати</w:t>
      </w:r>
      <w:r w:rsidRPr="000100E3">
        <w:rPr>
          <w:sz w:val="28"/>
          <w:szCs w:val="28"/>
          <w:lang w:val="uk-UA"/>
        </w:rPr>
        <w:t xml:space="preserve"> 15 відсотків від обсягу роботи (1 сторінка).</w:t>
      </w:r>
    </w:p>
    <w:p w:rsidR="00AB3122" w:rsidRPr="000100E3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9B0339">
        <w:rPr>
          <w:b/>
          <w:sz w:val="28"/>
          <w:szCs w:val="28"/>
          <w:lang w:val="uk-UA"/>
        </w:rPr>
        <w:t>Основна частина.</w:t>
      </w:r>
      <w:r w:rsidRPr="000100E3">
        <w:rPr>
          <w:sz w:val="28"/>
          <w:szCs w:val="28"/>
          <w:lang w:val="uk-UA"/>
        </w:rPr>
        <w:t xml:space="preserve"> Текст </w:t>
      </w:r>
      <w:r>
        <w:rPr>
          <w:sz w:val="28"/>
          <w:szCs w:val="28"/>
          <w:lang w:val="uk-UA"/>
        </w:rPr>
        <w:t xml:space="preserve">потрібно написати </w:t>
      </w:r>
      <w:r w:rsidRPr="000100E3">
        <w:rPr>
          <w:sz w:val="28"/>
          <w:szCs w:val="28"/>
          <w:lang w:val="uk-UA"/>
        </w:rPr>
        <w:t>самостійно. Цитований матеріал в основній частині, незалежно від форми цитування − дослівного (у лапках), світоглядно-змістового (своїми словами із зазначенням авторства матеріалу, який використовується), не повинен перев</w:t>
      </w:r>
      <w:r>
        <w:rPr>
          <w:sz w:val="28"/>
          <w:szCs w:val="28"/>
          <w:lang w:val="uk-UA"/>
        </w:rPr>
        <w:t>ищува</w:t>
      </w:r>
      <w:r w:rsidRPr="000100E3">
        <w:rPr>
          <w:sz w:val="28"/>
          <w:szCs w:val="28"/>
          <w:lang w:val="uk-UA"/>
        </w:rPr>
        <w:t xml:space="preserve">ти 30 % відсотків </w:t>
      </w:r>
      <w:r>
        <w:rPr>
          <w:sz w:val="28"/>
          <w:szCs w:val="28"/>
          <w:lang w:val="uk-UA"/>
        </w:rPr>
        <w:t>наукової роботи</w:t>
      </w:r>
      <w:r w:rsidRPr="000100E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Основна частина повинна складатися мінімум із 3-х пунктів.</w:t>
      </w:r>
      <w:bookmarkStart w:id="0" w:name="_GoBack"/>
      <w:bookmarkEnd w:id="0"/>
    </w:p>
    <w:p w:rsidR="00AB3122" w:rsidRPr="000100E3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0100E3">
        <w:rPr>
          <w:sz w:val="28"/>
          <w:szCs w:val="28"/>
          <w:lang w:val="uk-UA"/>
        </w:rPr>
        <w:t xml:space="preserve">Загальний обсяг основної частини </w:t>
      </w:r>
      <w:r>
        <w:rPr>
          <w:sz w:val="28"/>
          <w:szCs w:val="28"/>
          <w:lang w:val="uk-UA"/>
        </w:rPr>
        <w:t>–</w:t>
      </w:r>
      <w:r w:rsidRPr="000100E3">
        <w:rPr>
          <w:sz w:val="28"/>
          <w:szCs w:val="28"/>
          <w:lang w:val="uk-UA"/>
        </w:rPr>
        <w:t xml:space="preserve"> 7</w:t>
      </w:r>
      <w:r>
        <w:rPr>
          <w:sz w:val="28"/>
          <w:szCs w:val="28"/>
          <w:lang w:val="uk-UA"/>
        </w:rPr>
        <w:t>–</w:t>
      </w:r>
      <w:r w:rsidRPr="000100E3">
        <w:rPr>
          <w:sz w:val="28"/>
          <w:szCs w:val="28"/>
          <w:lang w:val="uk-UA"/>
        </w:rPr>
        <w:t>8 сторінок.</w:t>
      </w:r>
    </w:p>
    <w:p w:rsidR="00AB3122" w:rsidRPr="000100E3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D816DF">
        <w:rPr>
          <w:b/>
          <w:sz w:val="28"/>
          <w:szCs w:val="28"/>
          <w:lang w:val="uk-UA"/>
        </w:rPr>
        <w:t>Висновки.</w:t>
      </w:r>
      <w:r w:rsidRPr="000100E3">
        <w:rPr>
          <w:sz w:val="28"/>
          <w:szCs w:val="28"/>
          <w:lang w:val="uk-UA"/>
        </w:rPr>
        <w:t xml:space="preserve"> Висновки повинні </w:t>
      </w:r>
      <w:r>
        <w:rPr>
          <w:sz w:val="28"/>
          <w:szCs w:val="28"/>
          <w:lang w:val="uk-UA"/>
        </w:rPr>
        <w:t>бути</w:t>
      </w:r>
      <w:r w:rsidRPr="000100E3">
        <w:rPr>
          <w:sz w:val="28"/>
          <w:szCs w:val="28"/>
          <w:lang w:val="uk-UA"/>
        </w:rPr>
        <w:t xml:space="preserve"> чітк</w:t>
      </w:r>
      <w:r>
        <w:rPr>
          <w:sz w:val="28"/>
          <w:szCs w:val="28"/>
          <w:lang w:val="uk-UA"/>
        </w:rPr>
        <w:t xml:space="preserve">ими </w:t>
      </w:r>
      <w:r w:rsidRPr="000100E3">
        <w:rPr>
          <w:sz w:val="28"/>
          <w:szCs w:val="28"/>
          <w:lang w:val="uk-UA"/>
        </w:rPr>
        <w:t>та лаконічн</w:t>
      </w:r>
      <w:r>
        <w:rPr>
          <w:sz w:val="28"/>
          <w:szCs w:val="28"/>
          <w:lang w:val="uk-UA"/>
        </w:rPr>
        <w:t>ими</w:t>
      </w:r>
      <w:r w:rsidRPr="000100E3">
        <w:rPr>
          <w:sz w:val="28"/>
          <w:szCs w:val="28"/>
          <w:lang w:val="uk-UA"/>
        </w:rPr>
        <w:t>. Жодних цитат, тільки узагальнення, резюмування основних питань і проблем теми, визначення можливостей їх використання у практичній діяльності. Висновкові тези можна нумерувати.</w:t>
      </w:r>
    </w:p>
    <w:p w:rsidR="00AB3122" w:rsidRPr="000100E3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D816DF">
        <w:rPr>
          <w:b/>
          <w:sz w:val="28"/>
          <w:szCs w:val="28"/>
          <w:lang w:val="uk-UA"/>
        </w:rPr>
        <w:t>Список використаної літератури</w:t>
      </w:r>
      <w:r w:rsidRPr="000100E3">
        <w:rPr>
          <w:sz w:val="28"/>
          <w:szCs w:val="28"/>
          <w:lang w:val="uk-UA"/>
        </w:rPr>
        <w:t>. Укладається за алфавітним порядком мовою оригіналу з усіма вихідними даними.</w:t>
      </w:r>
    </w:p>
    <w:p w:rsidR="00AB3122" w:rsidRPr="000100E3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D816DF">
        <w:rPr>
          <w:b/>
          <w:sz w:val="28"/>
          <w:szCs w:val="28"/>
          <w:lang w:val="uk-UA"/>
        </w:rPr>
        <w:t>Параметри</w:t>
      </w:r>
      <w:r w:rsidRPr="000100E3">
        <w:rPr>
          <w:sz w:val="28"/>
          <w:szCs w:val="28"/>
          <w:lang w:val="uk-UA"/>
        </w:rPr>
        <w:t xml:space="preserve">: версія WORD, шрифт </w:t>
      </w:r>
      <w:r>
        <w:rPr>
          <w:sz w:val="28"/>
          <w:szCs w:val="28"/>
          <w:lang w:val="uk-UA"/>
        </w:rPr>
        <w:t xml:space="preserve">– 14 кегель. </w:t>
      </w:r>
      <w:r w:rsidRPr="000100E3">
        <w:rPr>
          <w:sz w:val="28"/>
          <w:szCs w:val="28"/>
          <w:lang w:val="uk-UA"/>
        </w:rPr>
        <w:t>Сторінки повинні мати відповідні поля та нумерацію: зліва – 30 мм; справа – 10 мм; зверху та знизу</w:t>
      </w:r>
      <w:r>
        <w:rPr>
          <w:sz w:val="28"/>
          <w:szCs w:val="28"/>
          <w:lang w:val="uk-UA"/>
        </w:rPr>
        <w:t xml:space="preserve"> </w:t>
      </w:r>
      <w:r w:rsidRPr="000100E3">
        <w:rPr>
          <w:sz w:val="28"/>
          <w:szCs w:val="28"/>
          <w:lang w:val="uk-UA"/>
        </w:rPr>
        <w:t>– 20 мм.</w:t>
      </w:r>
    </w:p>
    <w:p w:rsidR="00AB3122" w:rsidRPr="002C7F05" w:rsidRDefault="00AB3122" w:rsidP="00AB3122">
      <w:pPr>
        <w:spacing w:line="240" w:lineRule="auto"/>
        <w:ind w:firstLine="720"/>
        <w:rPr>
          <w:b/>
          <w:sz w:val="28"/>
          <w:szCs w:val="28"/>
          <w:lang w:val="uk-UA"/>
        </w:rPr>
      </w:pPr>
      <w:r w:rsidRPr="002C7F05">
        <w:rPr>
          <w:b/>
          <w:sz w:val="28"/>
          <w:szCs w:val="28"/>
          <w:lang w:val="uk-UA"/>
        </w:rPr>
        <w:t xml:space="preserve">Варіанти індивідуальних завдань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Державна г</w:t>
      </w:r>
      <w:r w:rsidRPr="00627CE8">
        <w:rPr>
          <w:sz w:val="28"/>
          <w:szCs w:val="28"/>
          <w:lang w:val="uk-UA"/>
        </w:rPr>
        <w:t xml:space="preserve">ендерна політика в Україні.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Соціально-правові аспекти г</w:t>
      </w:r>
      <w:r w:rsidRPr="00627CE8">
        <w:rPr>
          <w:sz w:val="28"/>
          <w:szCs w:val="28"/>
          <w:lang w:val="uk-UA"/>
        </w:rPr>
        <w:t xml:space="preserve">ендерної політики в Україні.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>3. Механізми фор</w:t>
      </w:r>
      <w:r>
        <w:rPr>
          <w:sz w:val="28"/>
          <w:szCs w:val="28"/>
          <w:lang w:val="uk-UA"/>
        </w:rPr>
        <w:t>мування й реалізації державної г</w:t>
      </w:r>
      <w:r w:rsidRPr="00627CE8">
        <w:rPr>
          <w:sz w:val="28"/>
          <w:szCs w:val="28"/>
          <w:lang w:val="uk-UA"/>
        </w:rPr>
        <w:t xml:space="preserve">ендерної політики.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 xml:space="preserve">4. Урядові структури забезпечення </w:t>
      </w:r>
      <w:r>
        <w:rPr>
          <w:sz w:val="28"/>
          <w:szCs w:val="28"/>
          <w:lang w:val="uk-UA"/>
        </w:rPr>
        <w:t>г</w:t>
      </w:r>
      <w:r w:rsidRPr="00627CE8">
        <w:rPr>
          <w:sz w:val="28"/>
          <w:szCs w:val="28"/>
          <w:lang w:val="uk-UA"/>
        </w:rPr>
        <w:t xml:space="preserve">ендерної рівності.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 xml:space="preserve">5. Проблеми </w:t>
      </w:r>
      <w:r>
        <w:rPr>
          <w:sz w:val="28"/>
          <w:szCs w:val="28"/>
          <w:lang w:val="uk-UA"/>
        </w:rPr>
        <w:t>гендерної рівності в</w:t>
      </w:r>
      <w:r w:rsidRPr="00627CE8">
        <w:rPr>
          <w:sz w:val="28"/>
          <w:szCs w:val="28"/>
          <w:lang w:val="uk-UA"/>
        </w:rPr>
        <w:t xml:space="preserve"> діяльності інститутів громадянського суспільства.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>6. Система державного управління як інструмент форму</w:t>
      </w:r>
      <w:r>
        <w:rPr>
          <w:sz w:val="28"/>
          <w:szCs w:val="28"/>
          <w:lang w:val="uk-UA"/>
        </w:rPr>
        <w:t>вання і реалізації державної г</w:t>
      </w:r>
      <w:r w:rsidRPr="00627CE8">
        <w:rPr>
          <w:sz w:val="28"/>
          <w:szCs w:val="28"/>
          <w:lang w:val="uk-UA"/>
        </w:rPr>
        <w:t xml:space="preserve">ендерної політики.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Проблеми запровадження г</w:t>
      </w:r>
      <w:r w:rsidRPr="00627CE8">
        <w:rPr>
          <w:sz w:val="28"/>
          <w:szCs w:val="28"/>
          <w:lang w:val="uk-UA"/>
        </w:rPr>
        <w:t xml:space="preserve">ендерної паритетності у діяльність органів державної влади та місцевого самоврядування.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Актуальність г</w:t>
      </w:r>
      <w:r w:rsidRPr="00627CE8">
        <w:rPr>
          <w:sz w:val="28"/>
          <w:szCs w:val="28"/>
          <w:lang w:val="uk-UA"/>
        </w:rPr>
        <w:t xml:space="preserve">ендерної освіти державних службовців і працівників органів місцевого самоврядування.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Г</w:t>
      </w:r>
      <w:r w:rsidRPr="00627CE8">
        <w:rPr>
          <w:sz w:val="28"/>
          <w:szCs w:val="28"/>
          <w:lang w:val="uk-UA"/>
        </w:rPr>
        <w:t xml:space="preserve">ендерна експертиза законодавства.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 xml:space="preserve">10. Динаміка індикаторів </w:t>
      </w:r>
      <w:r>
        <w:rPr>
          <w:sz w:val="28"/>
          <w:szCs w:val="28"/>
          <w:lang w:val="uk-UA"/>
        </w:rPr>
        <w:t>г</w:t>
      </w:r>
      <w:r w:rsidRPr="00627CE8">
        <w:rPr>
          <w:sz w:val="28"/>
          <w:szCs w:val="28"/>
          <w:lang w:val="uk-UA"/>
        </w:rPr>
        <w:t>ендерного ро</w:t>
      </w:r>
      <w:r>
        <w:rPr>
          <w:sz w:val="28"/>
          <w:szCs w:val="28"/>
          <w:lang w:val="uk-UA"/>
        </w:rPr>
        <w:t xml:space="preserve">звитку в Україні відповідно до </w:t>
      </w:r>
      <w:r>
        <w:rPr>
          <w:sz w:val="28"/>
          <w:szCs w:val="28"/>
          <w:lang w:val="uk-UA"/>
        </w:rPr>
        <w:lastRenderedPageBreak/>
        <w:t>«Цілей розвитку тисячоліття»</w:t>
      </w:r>
      <w:r w:rsidRPr="00627CE8">
        <w:rPr>
          <w:sz w:val="28"/>
          <w:szCs w:val="28"/>
          <w:lang w:val="uk-UA"/>
        </w:rPr>
        <w:t>.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 xml:space="preserve">11. Порівняльний аналіз представництва жінок та чоловіків у громадських рухах, політичних партіях та об’єднаннях України.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 xml:space="preserve">12. Міжнародні правові механізми, та закордонний досвід правового забезпечення рівних можливостей.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>13.</w:t>
      </w:r>
      <w:r>
        <w:rPr>
          <w:sz w:val="28"/>
          <w:szCs w:val="28"/>
          <w:lang w:val="uk-UA"/>
        </w:rPr>
        <w:t xml:space="preserve"> Освітні технології формування г</w:t>
      </w:r>
      <w:r w:rsidRPr="00627CE8">
        <w:rPr>
          <w:sz w:val="28"/>
          <w:szCs w:val="28"/>
          <w:lang w:val="uk-UA"/>
        </w:rPr>
        <w:t xml:space="preserve">ендерної культури </w:t>
      </w:r>
      <w:r>
        <w:rPr>
          <w:sz w:val="28"/>
          <w:szCs w:val="28"/>
          <w:lang w:val="uk-UA"/>
        </w:rPr>
        <w:t>в</w:t>
      </w:r>
      <w:r w:rsidRPr="00627CE8">
        <w:rPr>
          <w:sz w:val="28"/>
          <w:szCs w:val="28"/>
          <w:lang w:val="uk-UA"/>
        </w:rPr>
        <w:t xml:space="preserve"> державних службовців та посадових осіб місцевого самоврядування.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>14. Концептуальні підход</w:t>
      </w:r>
      <w:r>
        <w:rPr>
          <w:sz w:val="28"/>
          <w:szCs w:val="28"/>
          <w:lang w:val="uk-UA"/>
        </w:rPr>
        <w:t>и до визначення поняття «г</w:t>
      </w:r>
      <w:r w:rsidRPr="00627CE8">
        <w:rPr>
          <w:sz w:val="28"/>
          <w:szCs w:val="28"/>
          <w:lang w:val="uk-UA"/>
        </w:rPr>
        <w:t xml:space="preserve">ендерна політика»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Основні г</w:t>
      </w:r>
      <w:r w:rsidRPr="00627CE8">
        <w:rPr>
          <w:sz w:val="28"/>
          <w:szCs w:val="28"/>
          <w:lang w:val="uk-UA"/>
        </w:rPr>
        <w:t xml:space="preserve">ендерні характеристики особистості.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>16. Тра</w:t>
      </w:r>
      <w:r>
        <w:rPr>
          <w:sz w:val="28"/>
          <w:szCs w:val="28"/>
          <w:lang w:val="uk-UA"/>
        </w:rPr>
        <w:t>нсформація суспільного бачення г</w:t>
      </w:r>
      <w:r w:rsidRPr="00627CE8">
        <w:rPr>
          <w:sz w:val="28"/>
          <w:szCs w:val="28"/>
          <w:lang w:val="uk-UA"/>
        </w:rPr>
        <w:t xml:space="preserve">ендерної рівності та її етапи.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Важливість г</w:t>
      </w:r>
      <w:r w:rsidRPr="00627CE8">
        <w:rPr>
          <w:sz w:val="28"/>
          <w:szCs w:val="28"/>
          <w:lang w:val="uk-UA"/>
        </w:rPr>
        <w:t xml:space="preserve">ендерної рівності в аспекті формування та розвитку сучасних демократій.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>18. П</w:t>
      </w:r>
      <w:r>
        <w:rPr>
          <w:sz w:val="28"/>
          <w:szCs w:val="28"/>
          <w:lang w:val="uk-UA"/>
        </w:rPr>
        <w:t>ринципи г</w:t>
      </w:r>
      <w:r w:rsidRPr="00627CE8">
        <w:rPr>
          <w:sz w:val="28"/>
          <w:szCs w:val="28"/>
          <w:lang w:val="uk-UA"/>
        </w:rPr>
        <w:t xml:space="preserve">ендерної політики в системі публічного управління.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 xml:space="preserve">19. </w:t>
      </w:r>
      <w:r>
        <w:rPr>
          <w:sz w:val="28"/>
          <w:szCs w:val="28"/>
          <w:lang w:val="uk-UA"/>
        </w:rPr>
        <w:t>Г</w:t>
      </w:r>
      <w:r w:rsidRPr="00627CE8">
        <w:rPr>
          <w:sz w:val="28"/>
          <w:szCs w:val="28"/>
          <w:lang w:val="uk-UA"/>
        </w:rPr>
        <w:t xml:space="preserve">ендерні теорії та концептуальні підходи до дослідження </w:t>
      </w:r>
      <w:r>
        <w:rPr>
          <w:sz w:val="28"/>
          <w:szCs w:val="28"/>
          <w:lang w:val="uk-UA"/>
        </w:rPr>
        <w:t>г</w:t>
      </w:r>
      <w:r w:rsidRPr="00627CE8">
        <w:rPr>
          <w:sz w:val="28"/>
          <w:szCs w:val="28"/>
          <w:lang w:val="uk-UA"/>
        </w:rPr>
        <w:t xml:space="preserve">ендерної політики в публічному управлінні.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 xml:space="preserve">20. Стратегії </w:t>
      </w:r>
      <w:r>
        <w:rPr>
          <w:sz w:val="28"/>
          <w:szCs w:val="28"/>
          <w:lang w:val="uk-UA"/>
        </w:rPr>
        <w:t>гендерної політики.</w:t>
      </w:r>
      <w:r w:rsidRPr="00627CE8">
        <w:rPr>
          <w:sz w:val="28"/>
          <w:szCs w:val="28"/>
          <w:lang w:val="uk-UA"/>
        </w:rPr>
        <w:t xml:space="preserve">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 Сучасні моделі г</w:t>
      </w:r>
      <w:r w:rsidRPr="00627CE8">
        <w:rPr>
          <w:sz w:val="28"/>
          <w:szCs w:val="28"/>
          <w:lang w:val="uk-UA"/>
        </w:rPr>
        <w:t xml:space="preserve">ендерної політики.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 xml:space="preserve">22. Характерні особливості </w:t>
      </w:r>
      <w:r>
        <w:rPr>
          <w:sz w:val="28"/>
          <w:szCs w:val="28"/>
          <w:lang w:val="uk-UA"/>
        </w:rPr>
        <w:t>г</w:t>
      </w:r>
      <w:r w:rsidRPr="00627CE8">
        <w:rPr>
          <w:sz w:val="28"/>
          <w:szCs w:val="28"/>
          <w:lang w:val="uk-UA"/>
        </w:rPr>
        <w:t xml:space="preserve">ендерної політики в Україні та за кордоном.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 xml:space="preserve">23. Нормативно-правове забезпечення </w:t>
      </w:r>
      <w:r>
        <w:rPr>
          <w:sz w:val="28"/>
          <w:szCs w:val="28"/>
          <w:lang w:val="uk-UA"/>
        </w:rPr>
        <w:t>г</w:t>
      </w:r>
      <w:r w:rsidRPr="00627CE8">
        <w:rPr>
          <w:sz w:val="28"/>
          <w:szCs w:val="28"/>
          <w:lang w:val="uk-UA"/>
        </w:rPr>
        <w:t xml:space="preserve">ендерної політики України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 xml:space="preserve">24. Загальне правове регулювання забезпечення рівних прав та можливостей жінок і чоловіків.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 xml:space="preserve">25. Інтеграція </w:t>
      </w:r>
      <w:r>
        <w:rPr>
          <w:sz w:val="28"/>
          <w:szCs w:val="28"/>
          <w:lang w:val="uk-UA"/>
        </w:rPr>
        <w:t>г</w:t>
      </w:r>
      <w:r w:rsidRPr="00627CE8">
        <w:rPr>
          <w:sz w:val="28"/>
          <w:szCs w:val="28"/>
          <w:lang w:val="uk-UA"/>
        </w:rPr>
        <w:t xml:space="preserve">ендерних підходів під час розроблення нормативно-правових актів.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 xml:space="preserve">26. Правове забезпечення рівних прав та можливостей жінок і чоловіків у сфері праці та соціального забезпечення.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 xml:space="preserve">27. Міжнародні документи та зобов’язання України щодо забезпечення рівних прав та можливостей жінок і чоловіків.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 xml:space="preserve">28. Міжнародні норми та стандарти </w:t>
      </w:r>
      <w:r>
        <w:rPr>
          <w:sz w:val="28"/>
          <w:szCs w:val="28"/>
          <w:lang w:val="uk-UA"/>
        </w:rPr>
        <w:t>г</w:t>
      </w:r>
      <w:r w:rsidRPr="00627CE8">
        <w:rPr>
          <w:sz w:val="28"/>
          <w:szCs w:val="28"/>
          <w:lang w:val="uk-UA"/>
        </w:rPr>
        <w:t xml:space="preserve">ендерної рівності у сфері праці Міжнародної організації праці (МОП).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Pr="00627CE8">
        <w:rPr>
          <w:sz w:val="28"/>
          <w:szCs w:val="28"/>
          <w:lang w:val="uk-UA"/>
        </w:rPr>
        <w:t>. Практичні інструменти</w:t>
      </w:r>
      <w:r>
        <w:rPr>
          <w:sz w:val="28"/>
          <w:szCs w:val="28"/>
          <w:lang w:val="uk-UA"/>
        </w:rPr>
        <w:t xml:space="preserve"> та досвід реалізації місцевих г</w:t>
      </w:r>
      <w:r w:rsidRPr="00627CE8">
        <w:rPr>
          <w:sz w:val="28"/>
          <w:szCs w:val="28"/>
          <w:lang w:val="uk-UA"/>
        </w:rPr>
        <w:t xml:space="preserve">ендерних ініціатив в Україні.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 w:rsidRPr="00627CE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</w:t>
      </w:r>
      <w:r w:rsidRPr="00627CE8">
        <w:rPr>
          <w:sz w:val="28"/>
          <w:szCs w:val="28"/>
          <w:lang w:val="uk-UA"/>
        </w:rPr>
        <w:t>. Між</w:t>
      </w:r>
      <w:r>
        <w:rPr>
          <w:sz w:val="28"/>
          <w:szCs w:val="28"/>
          <w:lang w:val="uk-UA"/>
        </w:rPr>
        <w:t>народні механізми забезпечення г</w:t>
      </w:r>
      <w:r w:rsidRPr="00627CE8">
        <w:rPr>
          <w:sz w:val="28"/>
          <w:szCs w:val="28"/>
          <w:lang w:val="uk-UA"/>
        </w:rPr>
        <w:t xml:space="preserve">ендерної рівності.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 Принципи г</w:t>
      </w:r>
      <w:r w:rsidRPr="00627CE8">
        <w:rPr>
          <w:sz w:val="28"/>
          <w:szCs w:val="28"/>
          <w:lang w:val="uk-UA"/>
        </w:rPr>
        <w:t xml:space="preserve">ендерної рівності в законодавстві ЄС. </w:t>
      </w:r>
    </w:p>
    <w:p w:rsidR="00AB3122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27CE8">
        <w:rPr>
          <w:sz w:val="28"/>
          <w:szCs w:val="28"/>
          <w:lang w:val="uk-UA"/>
        </w:rPr>
        <w:t xml:space="preserve">2. Запровадження спеціальних механізмів </w:t>
      </w:r>
      <w:r>
        <w:rPr>
          <w:sz w:val="28"/>
          <w:szCs w:val="28"/>
          <w:lang w:val="uk-UA"/>
        </w:rPr>
        <w:t>г</w:t>
      </w:r>
      <w:r w:rsidRPr="00627CE8">
        <w:rPr>
          <w:sz w:val="28"/>
          <w:szCs w:val="28"/>
          <w:lang w:val="uk-UA"/>
        </w:rPr>
        <w:t xml:space="preserve">ендерної політики. </w:t>
      </w:r>
    </w:p>
    <w:p w:rsidR="00AB3122" w:rsidRPr="00627CE8" w:rsidRDefault="00AB3122" w:rsidP="00AB3122">
      <w:pPr>
        <w:spacing w:line="24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33. </w:t>
      </w:r>
      <w:r w:rsidRPr="00627CE8">
        <w:rPr>
          <w:sz w:val="28"/>
          <w:szCs w:val="28"/>
          <w:lang w:val="uk-UA"/>
        </w:rPr>
        <w:t>Залучення жінок до політики на рівні Європейського Союзу.</w:t>
      </w:r>
    </w:p>
    <w:p w:rsidR="00C6055F" w:rsidRPr="00AB3122" w:rsidRDefault="00C6055F">
      <w:pPr>
        <w:rPr>
          <w:lang w:val="uk-UA"/>
        </w:rPr>
      </w:pPr>
    </w:p>
    <w:sectPr w:rsidR="00C6055F" w:rsidRPr="00AB31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74"/>
    <w:rsid w:val="00896274"/>
    <w:rsid w:val="00AB3122"/>
    <w:rsid w:val="00C6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D0EB"/>
  <w15:chartTrackingRefBased/>
  <w15:docId w15:val="{DFF5683D-9B57-4E2C-8570-F36F8D29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1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2803</Words>
  <Characters>1599</Characters>
  <Application>Microsoft Office Word</Application>
  <DocSecurity>0</DocSecurity>
  <Lines>13</Lines>
  <Paragraphs>8</Paragraphs>
  <ScaleCrop>false</ScaleCrop>
  <Company>HP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2024-02-19T13:16:00Z</dcterms:created>
  <dcterms:modified xsi:type="dcterms:W3CDTF">2024-02-19T13:17:00Z</dcterms:modified>
</cp:coreProperties>
</file>