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9E" w:rsidRPr="002079F0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F0">
        <w:rPr>
          <w:rFonts w:ascii="Times New Roman" w:hAnsi="Times New Roman" w:cs="Times New Roman"/>
          <w:i/>
          <w:sz w:val="28"/>
          <w:szCs w:val="28"/>
        </w:rPr>
        <w:t>Найперша назва веданти</w:t>
      </w:r>
      <w:r w:rsidRPr="002079F0">
        <w:rPr>
          <w:rFonts w:ascii="Times New Roman" w:hAnsi="Times New Roman" w:cs="Times New Roman"/>
          <w:sz w:val="28"/>
          <w:szCs w:val="28"/>
        </w:rPr>
        <w:t xml:space="preserve"> – </w:t>
      </w:r>
      <w:r w:rsidRPr="002079F0">
        <w:rPr>
          <w:rFonts w:ascii="Times New Roman" w:hAnsi="Times New Roman" w:cs="Times New Roman"/>
          <w:b/>
          <w:i/>
          <w:sz w:val="28"/>
          <w:szCs w:val="28"/>
        </w:rPr>
        <w:t xml:space="preserve">пізня </w:t>
      </w:r>
      <w:proofErr w:type="spellStart"/>
      <w:r w:rsidRPr="002079F0">
        <w:rPr>
          <w:rFonts w:ascii="Times New Roman" w:hAnsi="Times New Roman" w:cs="Times New Roman"/>
          <w:b/>
          <w:i/>
          <w:sz w:val="28"/>
          <w:szCs w:val="28"/>
        </w:rPr>
        <w:t>міманса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utara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mimansa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), тоді як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міманса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, що 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заснована мудрецем </w:t>
      </w:r>
      <w:proofErr w:type="spellStart"/>
      <w:r w:rsidRPr="002079F0">
        <w:rPr>
          <w:rFonts w:ascii="Times New Roman" w:hAnsi="Times New Roman" w:cs="Times New Roman"/>
          <w:i/>
          <w:sz w:val="28"/>
          <w:szCs w:val="28"/>
        </w:rPr>
        <w:t>Джайміні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, називалася </w:t>
      </w:r>
      <w:r w:rsidRPr="002079F0">
        <w:rPr>
          <w:rFonts w:ascii="Times New Roman" w:hAnsi="Times New Roman" w:cs="Times New Roman"/>
          <w:b/>
          <w:i/>
          <w:sz w:val="28"/>
          <w:szCs w:val="28"/>
        </w:rPr>
        <w:t xml:space="preserve">перша </w:t>
      </w:r>
      <w:proofErr w:type="spellStart"/>
      <w:r w:rsidRPr="002079F0">
        <w:rPr>
          <w:rFonts w:ascii="Times New Roman" w:hAnsi="Times New Roman" w:cs="Times New Roman"/>
          <w:b/>
          <w:i/>
          <w:sz w:val="28"/>
          <w:szCs w:val="28"/>
        </w:rPr>
        <w:t>міманса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pur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79F0">
        <w:rPr>
          <w:rFonts w:ascii="Times New Roman" w:hAnsi="Times New Roman" w:cs="Times New Roman"/>
          <w:sz w:val="28"/>
          <w:szCs w:val="28"/>
        </w:rPr>
        <w:t>a–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mimansa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). Спочатку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дуже важко побачити відмінність думок міманси та веданти. В усякому разі, для кожної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них вчення сакральних текстів є «корінням» усілякого людського знання. </w:t>
      </w:r>
      <w:proofErr w:type="spellStart"/>
      <w:r w:rsidRPr="00EE6039">
        <w:rPr>
          <w:rFonts w:ascii="Times New Roman" w:hAnsi="Times New Roman" w:cs="Times New Roman"/>
          <w:b/>
          <w:i/>
          <w:sz w:val="28"/>
          <w:szCs w:val="28"/>
        </w:rPr>
        <w:t>Пурва</w:t>
      </w:r>
      <w:proofErr w:type="spellEnd"/>
      <w:r w:rsidRPr="00EE6039"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 w:rsidRPr="00EE6039">
        <w:rPr>
          <w:rFonts w:ascii="Times New Roman" w:hAnsi="Times New Roman" w:cs="Times New Roman"/>
          <w:b/>
          <w:i/>
          <w:sz w:val="28"/>
          <w:szCs w:val="28"/>
        </w:rPr>
        <w:t>міманса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вважала ці тексти головним чинником у виконанні людиною сакральних обрядів,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цінність сакральної мови була для неї незаперечною. Звідси й головне спрямування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вчення на визначення того, що тільки має здійснитися у майбутньому. Для міманси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жертвопринесення – це і ритуал, і дещо більше за ритуал, а саме – космічна,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поєднуюча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дія, внутрішній динамізм всесвіту, всезагальний світовий закон (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rta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), доля. Це світ,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заведений неначе годинниковий механізм необхідною дією, ритуалом, який не передбачає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необхідність у творчому началі; сакральний припис визначається власним зусиллям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людини. Веданта ж шукає знання про вже існуючу сутність, дійсність – </w:t>
      </w:r>
      <w:r w:rsidRPr="00EE6039">
        <w:rPr>
          <w:rFonts w:ascii="Times New Roman" w:hAnsi="Times New Roman" w:cs="Times New Roman"/>
          <w:i/>
          <w:sz w:val="28"/>
          <w:szCs w:val="28"/>
        </w:rPr>
        <w:t>Брахмана</w:t>
      </w:r>
      <w:r w:rsidRPr="002079F0">
        <w:rPr>
          <w:rFonts w:ascii="Times New Roman" w:hAnsi="Times New Roman" w:cs="Times New Roman"/>
          <w:sz w:val="28"/>
          <w:szCs w:val="28"/>
        </w:rPr>
        <w:t>, 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впевненого в собі Брахмана, котрий не має величини, не є подвоєним, не поділений часом, простором і т. п. – не існує й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обрядів. її цікавить вище знання, а не жертовність та ритуали. За </w:t>
      </w:r>
      <w:r w:rsidRPr="00EE6039">
        <w:rPr>
          <w:rFonts w:ascii="Times New Roman" w:hAnsi="Times New Roman" w:cs="Times New Roman"/>
          <w:i/>
          <w:sz w:val="28"/>
          <w:szCs w:val="28"/>
        </w:rPr>
        <w:t>ведантою</w:t>
      </w:r>
      <w:r w:rsidRPr="002079F0">
        <w:rPr>
          <w:rFonts w:ascii="Times New Roman" w:hAnsi="Times New Roman" w:cs="Times New Roman"/>
          <w:sz w:val="28"/>
          <w:szCs w:val="28"/>
        </w:rPr>
        <w:t xml:space="preserve"> сакральні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тексти не керують діями людини, інакше кажучи, людина не є рабом долі. </w:t>
      </w:r>
    </w:p>
    <w:p w:rsidR="00AA3D9E" w:rsidRPr="00D93B56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9F0">
        <w:rPr>
          <w:rFonts w:ascii="Times New Roman" w:hAnsi="Times New Roman" w:cs="Times New Roman"/>
          <w:sz w:val="28"/>
          <w:szCs w:val="28"/>
        </w:rPr>
        <w:t>Самокритика веданти здійснювалася не тільки відносно міманси. Вона проходила крізь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всю історію боротьби індійського народу за свою незалежність, майже до середини XX сторіччя, коли Індія звільнилася від англійського колоніалізму. За цей час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. </w:t>
      </w:r>
      <w:r w:rsidRPr="00D93B56">
        <w:rPr>
          <w:rFonts w:ascii="Times New Roman" w:hAnsi="Times New Roman" w:cs="Times New Roman"/>
          <w:i/>
          <w:sz w:val="24"/>
          <w:szCs w:val="24"/>
        </w:rPr>
        <w:t xml:space="preserve">До нових історичних умов веданту намагалися пристосувати такі видатні діячі національно–визвольного руху, як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Д.Сарасваті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Рамакрішна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Парамаханса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Вівекананда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, Бал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Гангадхар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Тілак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, Рабіндранат Тагор,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Ауробіндо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3B56">
        <w:rPr>
          <w:rFonts w:ascii="Times New Roman" w:hAnsi="Times New Roman" w:cs="Times New Roman"/>
          <w:i/>
          <w:sz w:val="24"/>
          <w:szCs w:val="24"/>
        </w:rPr>
        <w:t>Гхош</w:t>
      </w:r>
      <w:proofErr w:type="spellEnd"/>
      <w:r w:rsidRPr="00D93B56">
        <w:rPr>
          <w:rFonts w:ascii="Times New Roman" w:hAnsi="Times New Roman" w:cs="Times New Roman"/>
          <w:i/>
          <w:sz w:val="24"/>
          <w:szCs w:val="24"/>
        </w:rPr>
        <w:t xml:space="preserve"> та інші. </w:t>
      </w:r>
    </w:p>
    <w:p w:rsidR="00AA3D9E" w:rsidRPr="002079F0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F0">
        <w:rPr>
          <w:rFonts w:ascii="Times New Roman" w:hAnsi="Times New Roman" w:cs="Times New Roman"/>
          <w:sz w:val="28"/>
          <w:szCs w:val="28"/>
        </w:rPr>
        <w:t>Успіх веданти полягає в тому, що вона вперше в історії індійської філософії зрозуміла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істинного індійського мудреця в образі цілого індійського народу. Суб'єкт, котрий мав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потяг до звільнення, був вже не частковим індивідом, а особистістю, а </w:t>
      </w:r>
      <w:r w:rsidRPr="00EE6039">
        <w:rPr>
          <w:rFonts w:ascii="Times New Roman" w:hAnsi="Times New Roman" w:cs="Times New Roman"/>
          <w:b/>
          <w:i/>
          <w:sz w:val="28"/>
          <w:szCs w:val="28"/>
        </w:rPr>
        <w:t>мокша</w:t>
      </w:r>
      <w:r w:rsidRPr="002079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мукті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),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звільнення особистості, стала спробою звільнення усього індійського народу. </w:t>
      </w:r>
      <w:r w:rsidRPr="00EE6039">
        <w:rPr>
          <w:rFonts w:ascii="Times New Roman" w:hAnsi="Times New Roman" w:cs="Times New Roman"/>
          <w:i/>
          <w:sz w:val="28"/>
          <w:szCs w:val="28"/>
        </w:rPr>
        <w:t xml:space="preserve">Відповідь на питання про сенс страждання індійського народу і кожної особистості стала головним змістом </w:t>
      </w:r>
      <w:r w:rsidRPr="00EE6039">
        <w:rPr>
          <w:rFonts w:ascii="Times New Roman" w:hAnsi="Times New Roman" w:cs="Times New Roman"/>
          <w:i/>
          <w:sz w:val="28"/>
          <w:szCs w:val="28"/>
        </w:rPr>
        <w:lastRenderedPageBreak/>
        <w:t>філософської концепції веданти.</w:t>
      </w:r>
      <w:r w:rsidRPr="002079F0">
        <w:rPr>
          <w:rFonts w:ascii="Times New Roman" w:hAnsi="Times New Roman" w:cs="Times New Roman"/>
          <w:sz w:val="28"/>
          <w:szCs w:val="28"/>
        </w:rPr>
        <w:t xml:space="preserve"> Треба було шукати ворога і енергію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подолання. </w:t>
      </w:r>
    </w:p>
    <w:p w:rsidR="00AA3D9E" w:rsidRPr="002079F0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F0">
        <w:rPr>
          <w:rFonts w:ascii="Times New Roman" w:hAnsi="Times New Roman" w:cs="Times New Roman"/>
          <w:sz w:val="28"/>
          <w:szCs w:val="28"/>
        </w:rPr>
        <w:t xml:space="preserve">Засновником веданти вважається мудрець </w:t>
      </w:r>
      <w:proofErr w:type="spellStart"/>
      <w:r w:rsidRPr="00EE6039">
        <w:rPr>
          <w:rFonts w:ascii="Times New Roman" w:hAnsi="Times New Roman" w:cs="Times New Roman"/>
          <w:i/>
          <w:sz w:val="28"/>
          <w:szCs w:val="28"/>
        </w:rPr>
        <w:t>Бадараяна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автор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Брах</w:t>
      </w:r>
      <w:r w:rsidRPr="002079F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79F0">
        <w:rPr>
          <w:rFonts w:ascii="Times New Roman" w:hAnsi="Times New Roman" w:cs="Times New Roman"/>
          <w:sz w:val="28"/>
          <w:szCs w:val="28"/>
        </w:rPr>
        <w:t>сутр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Бадараяна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був скоріше легендарною, ніж історичною постаттю. Можливо то був узагальнений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першого вчителя веданти. Точної дати його життя і творчості не існує. </w:t>
      </w:r>
    </w:p>
    <w:p w:rsidR="00AA3D9E" w:rsidRPr="002079F0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F0">
        <w:rPr>
          <w:rFonts w:ascii="Times New Roman" w:hAnsi="Times New Roman" w:cs="Times New Roman"/>
          <w:sz w:val="28"/>
          <w:szCs w:val="28"/>
        </w:rPr>
        <w:t xml:space="preserve">Хоча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сутри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39">
        <w:rPr>
          <w:rFonts w:ascii="Times New Roman" w:hAnsi="Times New Roman" w:cs="Times New Roman"/>
          <w:i/>
          <w:sz w:val="28"/>
          <w:szCs w:val="28"/>
        </w:rPr>
        <w:t>Бадараяни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 – визнане теоретичне джерело веданти, самі по собі вони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мають такого значення, як їх подальше тлумачення. Даний твір відрізняється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лаконічністю, кожна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сутра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 складається з декількох слів. Всі коментарі 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Брахма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сутр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 зберігають композиційну структуру першого тексту, котрий поділяється на чотири глави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»). Перша глава носить назву 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Саманвая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Samanvaya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»), що означає «Гармонія» або «Єдність», «Послідовність». 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2079F0">
        <w:rPr>
          <w:rFonts w:ascii="Times New Roman" w:hAnsi="Times New Roman" w:cs="Times New Roman"/>
          <w:sz w:val="28"/>
          <w:szCs w:val="28"/>
        </w:rPr>
        <w:t>ї головна мета – показати, що головним героєм тексту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веданти є Брахман – джерело та початок світу. Друга глава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Авіродха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Avirodha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») – «Відсутність суперечності» – присвячується спростуванню поглядів супротивників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природу світу і втілених душ. У третій главі – 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Садхана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Sadhana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») – «Засіб» – говориться про засоби досягнення звільнення. І, нарешті, у четвертій главі – «Пхала» («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Phala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») –«Плід» – розглядаються теологічні питання. </w:t>
      </w:r>
    </w:p>
    <w:p w:rsidR="00AA3D9E" w:rsidRPr="002079F0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F0">
        <w:rPr>
          <w:rFonts w:ascii="Times New Roman" w:hAnsi="Times New Roman" w:cs="Times New Roman"/>
          <w:sz w:val="28"/>
          <w:szCs w:val="28"/>
        </w:rPr>
        <w:t xml:space="preserve">Відповідно цьому вченню, </w:t>
      </w:r>
      <w:r w:rsidRPr="00EE6039">
        <w:rPr>
          <w:rFonts w:ascii="Times New Roman" w:hAnsi="Times New Roman" w:cs="Times New Roman"/>
          <w:i/>
          <w:sz w:val="28"/>
          <w:szCs w:val="28"/>
        </w:rPr>
        <w:t>Брахман</w:t>
      </w:r>
      <w:r w:rsidRPr="002079F0">
        <w:rPr>
          <w:rFonts w:ascii="Times New Roman" w:hAnsi="Times New Roman" w:cs="Times New Roman"/>
          <w:sz w:val="28"/>
          <w:szCs w:val="28"/>
        </w:rPr>
        <w:t>, що перебуває у світі як його внутрішня сутність, разом з тим трансцендентний до цього світу, є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верховним правителем і всезагальним богом–творцем – </w:t>
      </w:r>
      <w:proofErr w:type="spellStart"/>
      <w:r w:rsidRPr="00EE6039">
        <w:rPr>
          <w:rFonts w:ascii="Times New Roman" w:hAnsi="Times New Roman" w:cs="Times New Roman"/>
          <w:i/>
          <w:sz w:val="28"/>
          <w:szCs w:val="28"/>
        </w:rPr>
        <w:t>Ішварою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. При цьому всесвіт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 xml:space="preserve">розглядається як реальна еманація Брахмана, його власне розгортання у часі та просторі. </w:t>
      </w:r>
    </w:p>
    <w:p w:rsidR="00AA3D9E" w:rsidRPr="002079F0" w:rsidRDefault="00AA3D9E" w:rsidP="00AA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F0">
        <w:rPr>
          <w:rFonts w:ascii="Times New Roman" w:hAnsi="Times New Roman" w:cs="Times New Roman"/>
          <w:sz w:val="28"/>
          <w:szCs w:val="28"/>
        </w:rPr>
        <w:t>Можна сказати, що така думка стала висновком філософського тлумачення Упанішад, останньої частини Вед, котрі іноді називалися ведантою. Звідси походить і основна назва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даршани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 – від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санскр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9F0">
        <w:rPr>
          <w:rFonts w:ascii="Times New Roman" w:hAnsi="Times New Roman" w:cs="Times New Roman"/>
          <w:sz w:val="28"/>
          <w:szCs w:val="28"/>
        </w:rPr>
        <w:t>veda+anta</w:t>
      </w:r>
      <w:proofErr w:type="spellEnd"/>
      <w:r w:rsidRPr="002079F0">
        <w:rPr>
          <w:rFonts w:ascii="Times New Roman" w:hAnsi="Times New Roman" w:cs="Times New Roman"/>
          <w:sz w:val="28"/>
          <w:szCs w:val="28"/>
        </w:rPr>
        <w:t>, що означає буквально «кінець вед», або філософське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F0">
        <w:rPr>
          <w:rFonts w:ascii="Times New Roman" w:hAnsi="Times New Roman" w:cs="Times New Roman"/>
          <w:sz w:val="28"/>
          <w:szCs w:val="28"/>
        </w:rPr>
        <w:t>тлумачення упанішад.</w:t>
      </w:r>
    </w:p>
    <w:p w:rsidR="004531AC" w:rsidRDefault="004531AC">
      <w:bookmarkStart w:id="0" w:name="_GoBack"/>
      <w:bookmarkEnd w:id="0"/>
    </w:p>
    <w:sectPr w:rsidR="00453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B2"/>
    <w:rsid w:val="004531AC"/>
    <w:rsid w:val="009150B2"/>
    <w:rsid w:val="00A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32415-F0B9-4F6E-9665-193C539A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2526</Words>
  <Characters>1441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2024-02-16T11:02:00Z</dcterms:created>
  <dcterms:modified xsi:type="dcterms:W3CDTF">2024-02-16T11:02:00Z</dcterms:modified>
</cp:coreProperties>
</file>