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5B85" w14:textId="1915B1B3" w:rsidR="000D6DA0" w:rsidRPr="000D6DA0" w:rsidRDefault="000D6DA0" w:rsidP="004949B3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0E2841" w:themeColor="text2"/>
          <w:sz w:val="28"/>
          <w:szCs w:val="28"/>
        </w:rPr>
      </w:pPr>
      <w:bookmarkStart w:id="0" w:name="_Toc241048502"/>
      <w:bookmarkStart w:id="1" w:name="_Toc370063789"/>
      <w:r w:rsidRPr="000D6DA0">
        <w:rPr>
          <w:rFonts w:ascii="Times New Roman" w:hAnsi="Times New Roman" w:cs="Times New Roman"/>
          <w:b/>
          <w:bCs/>
          <w:color w:val="0E2841" w:themeColor="text2"/>
          <w:sz w:val="28"/>
          <w:szCs w:val="28"/>
        </w:rPr>
        <w:t>Лекція 2</w:t>
      </w:r>
    </w:p>
    <w:p w14:paraId="405D6243" w14:textId="6F9281E7" w:rsidR="004949B3" w:rsidRPr="000D6DA0" w:rsidRDefault="000D6DA0" w:rsidP="000D6DA0">
      <w:pPr>
        <w:jc w:val="center"/>
        <w:rPr>
          <w:rFonts w:ascii="Times New Roman" w:hAnsi="Times New Roman"/>
          <w:b/>
          <w:bCs/>
          <w:color w:val="0E2841" w:themeColor="text2"/>
          <w:sz w:val="28"/>
          <w:szCs w:val="28"/>
          <w:lang w:val="uk-UA" w:eastAsia="en-US"/>
        </w:rPr>
      </w:pPr>
      <w:r w:rsidRPr="000D6DA0">
        <w:rPr>
          <w:rFonts w:ascii="Times New Roman" w:hAnsi="Times New Roman"/>
          <w:b/>
          <w:bCs/>
          <w:color w:val="0E2841" w:themeColor="text2"/>
          <w:sz w:val="28"/>
          <w:szCs w:val="28"/>
          <w:lang w:val="uk-UA" w:eastAsia="en-US"/>
        </w:rPr>
        <w:t>Тема: Музеєзнавство як наука</w:t>
      </w:r>
      <w:bookmarkEnd w:id="0"/>
      <w:bookmarkEnd w:id="1"/>
    </w:p>
    <w:p w14:paraId="598F7F14" w14:textId="77E2C71A" w:rsidR="004949B3" w:rsidRPr="000D6DA0" w:rsidRDefault="004949B3" w:rsidP="000D6DA0">
      <w:pPr>
        <w:pStyle w:val="2"/>
        <w:spacing w:line="360" w:lineRule="auto"/>
        <w:rPr>
          <w:rFonts w:ascii="Times New Roman" w:hAnsi="Times New Roman" w:cs="Times New Roman"/>
          <w:b/>
          <w:bCs/>
          <w:color w:val="0E2841" w:themeColor="text2"/>
          <w:sz w:val="28"/>
          <w:szCs w:val="28"/>
        </w:rPr>
      </w:pPr>
      <w:bookmarkStart w:id="2" w:name="_Toc241048503"/>
      <w:bookmarkStart w:id="3" w:name="_Toc370063790"/>
      <w:r w:rsidRPr="000D6DA0">
        <w:rPr>
          <w:rFonts w:ascii="Times New Roman" w:hAnsi="Times New Roman" w:cs="Times New Roman"/>
          <w:b/>
          <w:bCs/>
          <w:color w:val="0E2841" w:themeColor="text2"/>
          <w:sz w:val="28"/>
          <w:szCs w:val="28"/>
        </w:rPr>
        <w:t>Великі музеї світу</w:t>
      </w:r>
      <w:bookmarkEnd w:id="2"/>
      <w:bookmarkEnd w:id="3"/>
    </w:p>
    <w:p w14:paraId="710AFAD4" w14:textId="5D955FC2" w:rsidR="004949B3" w:rsidRDefault="004949B3" w:rsidP="004949B3">
      <w:pPr>
        <w:shd w:val="clear" w:color="auto" w:fill="FFFFFF"/>
        <w:tabs>
          <w:tab w:val="left" w:pos="6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а)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ab/>
        <w:t>Британський національний музей ~ найстаріший музей світу</w:t>
      </w:r>
      <w:r>
        <w:rPr>
          <w:rFonts w:ascii="Times New Roman" w:hAnsi="Times New Roman"/>
          <w:sz w:val="28"/>
          <w:szCs w:val="28"/>
          <w:lang w:val="uk-UA"/>
        </w:rPr>
        <w:t xml:space="preserve">, заснований декретом англійського парламенту у 1753 р. та відкритий для огляду у 1759 р. Первісно розташовувався у будинку лорда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Галіфакса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Монтегю-хаус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D458BAE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Британському музеї зберігаються пам'ятки: первісного мистецтва (головним чином Британських островів), культури Стародавнього Єгипту і Месопотамії, Стародавніх Греції і Риму, середньовічного мистецтва Європи, Африки, Азії, Америки, що хронологічно охоплюють два мільйони років розвитку цивілізації, Тут зібрані величезні колекції гравюр, монет, медалей, кераміки, художнього металу і ювелірного мистецтва. Експонати розташовані у 94 галереях завдовжки 4 км.</w:t>
      </w:r>
    </w:p>
    <w:p w14:paraId="000C6503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Найцінніші колекції: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античних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uk-UA"/>
        </w:rPr>
        <w:t>старожитностей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придбані у 1772 р. (колекція грецьких і римських ваз); 1814-1815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(скульптури афінського храму Парфенон);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єгипетські старожитності </w:t>
      </w:r>
      <w:r>
        <w:rPr>
          <w:rFonts w:ascii="Times New Roman" w:hAnsi="Times New Roman"/>
          <w:sz w:val="28"/>
          <w:szCs w:val="28"/>
          <w:lang w:val="uk-UA"/>
        </w:rPr>
        <w:t xml:space="preserve">- колосальні статуї єгипетських богів і фараонів, мумії, гробниці, колекції побутових речей; знаменита на весь світ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бальзатова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плита - "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Розеттський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камінь" (195 рік до н. е.) з тримовним написом - хвалебною промовою жерців на честь правителя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Птодемея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Єпіфана, знайдена у 1.799 р. біля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Розетта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Єгипті, а згодом використана французьким вченим Жаном-Франсуа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Шампольйоном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розшифрування текстів, написаних єгипетськими ієрогліфами.</w:t>
      </w:r>
    </w:p>
    <w:p w14:paraId="768BCC8C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Бібліотека </w:t>
      </w:r>
      <w:r>
        <w:rPr>
          <w:rFonts w:ascii="Times New Roman" w:hAnsi="Times New Roman"/>
          <w:sz w:val="28"/>
          <w:szCs w:val="28"/>
          <w:lang w:val="uk-UA"/>
        </w:rPr>
        <w:t xml:space="preserve">Британського музею зберігає 7 млн. друкованих книг, 105 тис. рукописів, близько 100 тис, хартій і грамот, понад 3 тис. папірусів: автографи В. Шекспіра, О. Кромвеля, Е.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Роттердамського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Ґ. Галілея,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М.Лютера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І Ньютона та інших видатних особистостей;</w:t>
      </w:r>
    </w:p>
    <w:p w14:paraId="6C331A5C" w14:textId="021CF3CD" w:rsidR="004949B3" w:rsidRDefault="004949B3" w:rsidP="004949B3">
      <w:pPr>
        <w:shd w:val="clear" w:color="auto" w:fill="FFFFFF"/>
        <w:tabs>
          <w:tab w:val="left" w:pos="6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б)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ab/>
        <w:t>Стара пінакотека в Мюнхені</w:t>
      </w:r>
      <w:r w:rsidR="000D6DA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представляє лише картини ("пінакотека" – від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грецьк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 "сховище картин"). Творцями живописного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зібрання Пінакотеки є баварські курфюрсти з роду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Віттельсбахів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Початок збірки покладено купівлею полотна німецького художника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Альбрехта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Альтдорфера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"Битва Олександра Македонського з перським царем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Дарієм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" (1529 р.). Згодом придбано 11 цінних творів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Альбрехта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Дюрера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("Автопортрет", 1500 р.), колекцію творів фламандського художника Пітера Пауля Рубенса (1577 - 1640),</w:t>
      </w:r>
    </w:p>
    <w:p w14:paraId="7F871A81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Для показу картин широкій публіці зведено нову будівлю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фон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Кленце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1836 р,). Експозиційні зали природно освітлювались за допомогою скляних плафонів на стелях.</w:t>
      </w:r>
    </w:p>
    <w:p w14:paraId="7D10B408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Сьогодні для огляду представлено лише 800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полотен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які охоплюють творчість європейських художників ХІ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-Х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ст. Експозиція побудована за тематико-хронологічним принципом: картини розташовані за мистецькими школами та за часом, коли творили художники шкіл: німецької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Міхаель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Пахер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Альбрехт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Альтдорфер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Альбрехт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Дюрер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Лукас Кранах, Ганс Гольбейн Старший), голландської (Якоб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Рейсдал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Рембрандт), нідерландської (Пітер Брейгель, Ієронім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Босх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фламандської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Антоніс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Дейк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Пітер Пауль Рубенс: 70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полотен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наприклад, "Автопортрет з Ізабеллою Брандт", "Битва греків з амазонками"), італійської (Рафаель, Леонардо да Вінчі, Тиціан,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Тінторетто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Франческо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Гварді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іспанської (Ель Греко, Хосе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Рібера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Веласкес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Франсіско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Гойя), французької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Нікола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Пуссен, Клод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Лоррен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Франсуа Буше, Жан Батист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Шарден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та інших:</w:t>
      </w:r>
    </w:p>
    <w:p w14:paraId="04D789C6" w14:textId="147DAE39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в) Лувр - музей, що виник на хеті революційного піднесення</w:t>
      </w:r>
      <w:r>
        <w:rPr>
          <w:rFonts w:ascii="Times New Roman" w:hAnsi="Times New Roman"/>
          <w:sz w:val="28"/>
          <w:szCs w:val="28"/>
          <w:lang w:val="uk-UA"/>
        </w:rPr>
        <w:t xml:space="preserve">, розташований у Парижі в складному комплексі палацових будівель, що створювався протягом кількох століть. Саме напередодні Великої французької революції формується думка про створення художнього музею для широкої публіки. Ідея французького художника Жака-Луї Давида втілюється в розпорядженні Установчих зборів (26 липня 1791 р.) про збір у Луврі "пам'яток наук і мистецтв".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21 </w:t>
      </w:r>
      <w:r>
        <w:rPr>
          <w:rFonts w:ascii="Times New Roman" w:hAnsi="Times New Roman"/>
          <w:sz w:val="28"/>
          <w:szCs w:val="28"/>
          <w:lang w:val="uk-UA"/>
        </w:rPr>
        <w:t>вересня 1792 р. Конвент постановив створити музей, який було відкрито у 1793 р.</w:t>
      </w:r>
    </w:p>
    <w:p w14:paraId="5BCD35F0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Основу музейного фонду майбутнього музею становили колишні королівські збірки, а також націоналізовані колекції деяких монастирів, церков та знатних сімей. Першим французьким монархом, який почав збирати колекцію мистецьких творів, був Франциск І. Поповнення колекції відбувалося за Людовіка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Людовіка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 інвентарі королівської збірки на початку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 налічувалося 2500 картин. Нині Лувр нараховує 250 тис. експонатів, які виставляються у шести відділах: Стародавнього Сходу, єгипетських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старожитностей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Греції та Риму, живопису і графіки, скульптури, декоративно-прикладного мистецтва. Відділом Лувру є також музей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Клюні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Парижі.</w:t>
      </w:r>
    </w:p>
    <w:p w14:paraId="6A9B1D30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Найвизначніші пам'ятки: найстаріший в світі звід законів царя Хаммурапі (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  <w:lang w:val="uk-UA"/>
        </w:rPr>
        <w:t xml:space="preserve"> ст. до н. е.) - плита чорного базальту заввишки більше 2 м, де вирізьблено 282 закони; статуя писаря (переписувача) середини </w:t>
      </w:r>
      <w:r>
        <w:rPr>
          <w:rFonts w:ascii="Times New Roman" w:hAnsi="Times New Roman"/>
          <w:sz w:val="28"/>
          <w:szCs w:val="28"/>
          <w:lang w:val="en-US"/>
        </w:rPr>
        <w:t>XXV</w:t>
      </w:r>
      <w:r>
        <w:rPr>
          <w:rFonts w:ascii="Times New Roman" w:hAnsi="Times New Roman"/>
          <w:sz w:val="28"/>
          <w:szCs w:val="28"/>
          <w:lang w:val="uk-UA"/>
        </w:rPr>
        <w:t xml:space="preserve"> ст. до н. е., знайдена французьким археологом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Маріеттом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1850 р. (відділ єгипетських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старожитностей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5BBBB4F2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античного мистецтва, відкритий у 1800 р., налічує близько 24 тис. творів, складається із залів Фідія,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Поліклета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Праксителя, Каріатид, Сфінкса, Парфенона. Особливу популярність мають два твори - статуї Ніки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Самофракійської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Венери Мілоської.</w:t>
      </w:r>
    </w:p>
    <w:p w14:paraId="4B198114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живопису представлений іменами найталановитіших художників світу: Рафаель,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Мікельанджело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Тиціан, Веронезе, Рубенс, Рембрандт,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Караваджо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Ель Греко,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Рібера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Ян Ван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Ейк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Дюрер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Кранах,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Хальс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Вермеєр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Дельфтський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Латур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Пуссен,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Ватто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Фрагонар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Шарден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Ж.-Л. Давид, 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Енгр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Т. Жеріко, Е. Делакруа, К. Каро та ін. Особливою окрасою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Луврської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колекції є знаменита "Джоконда" Леонардо да Вінчі, придбана Франциском І.</w:t>
      </w:r>
    </w:p>
    <w:p w14:paraId="2C79BBF3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Парадні обладунки і щит Карла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виконані у Парижі в 1592 р.. декоровані кольоровими емалями, гравіруванням і карбуванням. Серед відомих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коштовностей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Дувру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алмаз Регент (137 каратів), знайдений у 1700 р. в Індії;</w:t>
      </w:r>
    </w:p>
    <w:p w14:paraId="552C3164" w14:textId="5F104DE1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г) Державний Ермітаж у Санкт-Петербурзі</w:t>
      </w:r>
      <w:r>
        <w:rPr>
          <w:rFonts w:ascii="Times New Roman" w:hAnsi="Times New Roman"/>
          <w:sz w:val="28"/>
          <w:szCs w:val="28"/>
          <w:lang w:val="uk-UA"/>
        </w:rPr>
        <w:t xml:space="preserve"> зберігає більше 2 млн. 700 тис. культурно-історичних пам'яток. Експозиція музею займає 350 залів і міститься у кількох будівлях, що є визначними пам'ятками архітектури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  <w:lang w:val="uk-UA"/>
        </w:rPr>
        <w:t xml:space="preserve"> ст.</w:t>
      </w:r>
    </w:p>
    <w:p w14:paraId="1B6FBA8C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Збірка заснована 1764 р., коли імператриця Катерина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закупила у Берліні приватну колекцію з 225 картин голландської та фламандської шкіл. Значна частина картин за часів Катерини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розміщалась в апартаментах, що мали назву "Ермітаж". Французькою мовою це означає - відлюдне місце, місце усамітнення. Пізніше ця назва була перенесена на усю картинну галерею.</w:t>
      </w:r>
    </w:p>
    <w:p w14:paraId="285451F2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 Європі для Ермітажу закуповувались цінні колекції картин (у 1772 р. за посередництвом французького філософа Дені Дідро з Франції поступила велика збірка, в тому числі "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Даная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" і "Святе сімейство" Рембрандта, "Мадонна з Йосифом" Рафаеля, "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Юдиф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Джорджоне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"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Даная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" Тиціана, портрети Ван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Дейка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згодом - колекції гравюр, малюнків, античних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старожитностей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монет, медалей, а також книг, зокрема бібліотека філософа Франсуа Вольтера.</w:t>
      </w:r>
    </w:p>
    <w:p w14:paraId="45D87686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Особливо розкішною в Ермітажі була колекція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гемм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(різьблених каменів) - близько 10 тис. одиниць збереження. Найзнаменитішою камеєю Ермітажу є камея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Гонзага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Вона вирізьблена в сардоніксі у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 до н. е. в Александрії. На ній зображені профілі правителя Єгипту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Птолемея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Філадельфа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його дружини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Арсіної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Висота камеї 15.7 см, ширина 11,8 см. висота рельєфу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3см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Таких великих камей у світі є лише декілька.</w:t>
      </w:r>
    </w:p>
    <w:p w14:paraId="1C47C2B5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Перша згадка про камею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Гонзага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відноситься до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 коли камея належала дружині правителя Мантуї герцога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Гонзаго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У 1814 р. камеєю володіла колишня дружина Наполеона Жозефіна Богарне. Вона подарувала камею Олександру І, а той передав її у Ермітаж.</w:t>
      </w:r>
    </w:p>
    <w:p w14:paraId="08054CEF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  <w:lang w:val="uk-UA"/>
        </w:rPr>
        <w:t xml:space="preserve"> ст. поступили матеріали з археологічних експедицій, які поклали початок багатій колекції скіфського золота (наприклад, амфора з Чортомлика (розкопки 1863 р.) та гребінь з кургану Солоха (розкопки 1913 р.).</w:t>
      </w:r>
    </w:p>
    <w:p w14:paraId="4E65229F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публічний музей Ермітаж став функціонувати з 1852 р. Сьогодні Ермітаж налічує 8 відділів (історії первісної культури, історії античної культури, історії культури народів Сходу; історії російської культури, історії західноєвропейського мистецтва, нумізматики, науково-освітній відділ, реставраційний відділ).</w:t>
      </w:r>
    </w:p>
    <w:p w14:paraId="18EE17A3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Серед найцінніших творів музею картини Леонардо да Вінчі, Рафаеля, Тиціана, Ель Греко,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Веласкеса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Гойї, Рубенса, Ван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Дейка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Рембрандта (24 картини, офорти, малюнки), скульптури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Мікельанджело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Фальконе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Гудона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Родена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10D94F2" w14:textId="41201F9A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д) Музей "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uk-UA"/>
        </w:rPr>
        <w:t>Метрополітен"у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Нью-Йорку </w:t>
      </w:r>
      <w:r>
        <w:rPr>
          <w:rFonts w:ascii="Times New Roman" w:hAnsi="Times New Roman"/>
          <w:sz w:val="28"/>
          <w:szCs w:val="28"/>
          <w:lang w:val="uk-UA"/>
        </w:rPr>
        <w:t xml:space="preserve"> - найстаріший музей американського континенту, створений владою штату Нью-Йорк у 1870 р., не маючи ані приміщення, ані колекцій, ані грошей на їх придбання формувався від самого початку за рахунок дарів та пожертв окремих громадян. Першу експозицію відкрито у 1872 році у приміщенні танцювальної школи, а власну будівлю - триповерховий будинок під скляним дахом - зведено у 1880 р.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Калвер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 та Рей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Маулд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 Згодом до головної будівлі прибудовані нові корпуси і павільйони.</w:t>
      </w:r>
    </w:p>
    <w:p w14:paraId="0117BB65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колекції представлено твори художників різних мистецьких шкіл: італійської (Рафаель,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Крівеллі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Бронзіно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Боттічеллі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Тиціан,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Гварді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голландської (Рембрандт,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Вермеєр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Хальс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Брейгель Старший), фламандської (Рубенс, Ван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Дейк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німецької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Дюрер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Кранах Старший, Гольбейн Молодший), іспанської (Ель Греко,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Веласкес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Сурбаран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Рібера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Гойя), французької (Пуссен,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Ватто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Буше,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Фрагонар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Шарден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Курбе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Коро,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Енгр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Модільяні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Пікассо), англійської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Гейнсборо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Тернер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Констебл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американської (Стюарт,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Хікс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Хоммер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 Спеціальне приміщення (так зване американське крило) відведене для показу американського мистецтва.</w:t>
      </w:r>
    </w:p>
    <w:p w14:paraId="067CBD01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Окрім того, в Метрополітен-музеї є зали, присвячені мистецтву Стародавнього Єгипту, Сходу, Греції та Риму, середньовічної Європи. Метрополітен-музей проводить значну виставкову роботу, організовуючи виставки-гіганти, у яких беруть участь чимало музеїв з інших країн. Прикладом такої виставки є "Слава Візантії", у якій брали участь 119 музеїв з 24 країн світу. Зокрема, Львівський історичний музей представив на виставці керамічні кахлі, орнаментні плитки з розкопок Княжого Галича.</w:t>
      </w:r>
    </w:p>
    <w:p w14:paraId="7A6B8DE3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Метрополітен-музей є значним видавничим центром. Музейні публікації приносять щорічно прибуток у 1,5 млн. доларів. Щорічно музей відвідує більше 6 млн. чоловік. Екскурсії проводяться багатьма мовами світу, а також мовою жестів для глухонімих;</w:t>
      </w:r>
    </w:p>
    <w:p w14:paraId="4846A519" w14:textId="3168B15E" w:rsidR="004949B3" w:rsidRPr="000D6DA0" w:rsidRDefault="004949B3" w:rsidP="000D6D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е) Художні музеї Європи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Галерея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Уфіцці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у Флоренції </w:t>
      </w:r>
      <w:r>
        <w:rPr>
          <w:rFonts w:ascii="Times New Roman" w:hAnsi="Times New Roman"/>
          <w:sz w:val="28"/>
          <w:szCs w:val="28"/>
          <w:lang w:val="uk-UA"/>
        </w:rPr>
        <w:t xml:space="preserve">- створилась у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ст., як приватна збірка родини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У триповерховому приміщенні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Вазарі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зібрано картини періоду Відродження. Найцінніші з них зібрані у центральній частині музею -"Трибуні": Венери Тиціана, найзнаменитіша картина Сандро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Боттічеллі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"Народження Венери", твори Леонардо да Вінчі.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Музей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Прадо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Мадриді, </w:t>
      </w:r>
      <w:r>
        <w:rPr>
          <w:rFonts w:ascii="Times New Roman" w:hAnsi="Times New Roman"/>
          <w:sz w:val="28"/>
          <w:szCs w:val="28"/>
          <w:lang w:val="uk-UA"/>
        </w:rPr>
        <w:t xml:space="preserve">відкритий для огляду у 1819 р. як королівська колекція картин, з 1868 р. у власності міста. Окрасою колекції є картини Тиціана,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Босха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Ель-Греко, Рубенса, Веронезе,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Тінторетто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"Автопортрет"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Дюрера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Третьяковська галерея </w:t>
      </w:r>
      <w:r>
        <w:rPr>
          <w:rFonts w:ascii="Times New Roman" w:hAnsi="Times New Roman"/>
          <w:sz w:val="28"/>
          <w:szCs w:val="28"/>
          <w:lang w:val="uk-UA"/>
        </w:rPr>
        <w:t xml:space="preserve">у Москві відкрита у 1893 р. на базі приватної колекції купця П.М. Третьякова, передана у дар місту разом із спеціально зведеним для неї приміщенням (понад 1800 мистецьких творів). Сьогодні містить близько 6 тисяч картин, 3 тисячі творів давнього російського мистецтва, близько 1000 скульптур, понад 30 000 малюнків, гравюр: роботи геніального живописця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  <w:lang w:val="uk-UA"/>
        </w:rPr>
        <w:t xml:space="preserve"> ст. Андрія Рубльова, а також найкращі роботи російських та українських живописців Х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-ХХ ст. (Д. Левицького, В. Боровиковського, К. Брюллова,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Репіна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А. Куїнджі та ін.).</w:t>
      </w:r>
    </w:p>
    <w:p w14:paraId="593878FC" w14:textId="492A92FD" w:rsidR="004949B3" w:rsidRPr="000D6DA0" w:rsidRDefault="004949B3" w:rsidP="000D6DA0">
      <w:pPr>
        <w:pStyle w:val="2"/>
        <w:spacing w:line="360" w:lineRule="auto"/>
        <w:rPr>
          <w:rFonts w:ascii="Times New Roman" w:hAnsi="Times New Roman" w:cs="Times New Roman"/>
          <w:b/>
          <w:bCs/>
          <w:sz w:val="28"/>
        </w:rPr>
      </w:pPr>
      <w:bookmarkStart w:id="4" w:name="_Toc370063518"/>
      <w:bookmarkStart w:id="5" w:name="_Toc370063797"/>
      <w:r w:rsidRPr="000D6DA0">
        <w:rPr>
          <w:rFonts w:ascii="Times New Roman" w:hAnsi="Times New Roman" w:cs="Times New Roman"/>
          <w:b/>
          <w:bCs/>
          <w:sz w:val="28"/>
        </w:rPr>
        <w:t>Сучасні провідні музеї України</w:t>
      </w:r>
      <w:bookmarkEnd w:id="4"/>
      <w:bookmarkEnd w:id="5"/>
    </w:p>
    <w:p w14:paraId="668651A2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Національний музей історії України (до 1991 р. Державний історичний музей УРСР, у 1950-1965 рр.- Київський державний історичний музей). Головний корпус - колишнє приміщення Художньої школи, збудований у 1936 р. на найдавнішій території міста - східній частині Старокиївської гори, де зберігається понад 700 000 унікальних пам'яток історії та культури, що відображають історичний процес розвитку суспільства в Україні від найдавніших часів до сьогодні. Сучасна експозиція (39 залів) створена у 1977 р. Половина збірки - археологічні колекції (понад 350 000 предметів: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знамениті матеріали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Мізинської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Кирилівської стоянок кам'яної доби, трипільської культури, античних міст-держав Північного Причорномор'я). Експозиція знахідок середньовіччя доповнюється масштабною діорамою Києва у Х-ХІІІ ст.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О. Казанський). Особливо великою є колекція порцелянового та фаянсового посуду (в т. ч. відомих фірм - Києво-Межигірської фаянсової фабрики,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Волокитинського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заводу, Корецької та Баранівської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фабрик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порцелянових заводів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Гарднера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братів Корнілових,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Мейсенської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Берлінської порцелянових мануфактур). Серед матеріалів фотодокументального фонду (40 000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 цінними є реліквії запорізького козацтва; універсали, грамоти, листи гетьманів та козацької старшини. 13 000 од. нараховує колекція образотворчого мистецтва - живопис В. Васильківського, І. Їжакевича, В. Верещагіна, колекція портретів українських гетьманів тощо. Тут є найповніша нумізматична колекція в Україні (понад 120 000 од.). З 1963 р. діє філія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Музей Історичних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коштовностей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України, розміщений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Ковніровському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корпусі Києво-Печерської лаври, де експонуються раритети із збірки скіфського часу, такі як пектораль з Товстої могили,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горит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Мелітопольського кургану, чаша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Гайманової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могили, а також раритети давньоукраїнських ювелірів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-ХХ ст. Музей обслуговує понад 100 наукових працівників.</w:t>
      </w:r>
    </w:p>
    <w:p w14:paraId="49F697E1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Національний художній музей України (Київський державний музей українського образотворчого мистецтва УРСР, який, своєю чергою, виник у 1935 р. на базі художнього відділу Всеукраїнського історичного музею). Зберігає експонати від Х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>-ХІ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ст. до наших днів. У відділі стародавнього українського мистецтва експонуються пам'ятки іконопису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  <w:lang w:val="uk-UA"/>
        </w:rPr>
        <w:t xml:space="preserve"> ст., козацької доби, є чудові зразки українського портрета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  <w:lang w:val="uk-UA"/>
        </w:rPr>
        <w:t xml:space="preserve"> ст. Досить повно представлений у музеї український живопис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  <w:lang w:val="uk-UA"/>
        </w:rPr>
        <w:t xml:space="preserve"> ст., зокрема малярські й графічні роботи Т.Г. Шевченка, М.К. Пимоненка, С.І. Васильківського, С.І.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Світославського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П.О. Левченка, М.Г.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Бурачека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К.К.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О.О. Мурашка, твори західноукраїнських художників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Труша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Л. Кульчицької та інших; твори радянських митців - Ф.Г. Кричевського, А.Г. Петрицького, С. Їжакевича, К.Д. Трохименка, О.О. Шовкуненка, М.П. Глущенка, Т.Н. Яблонської, М.М.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Божія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ін., скульптурні роботи Г.Н. Кальченко, М.К. Вронського, О.О. Ковальова та ін. Широко показано розвиток українського графічного мистецтва в роботах Г.І. Нарбута, В.І.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Касіяна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М.Г.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Дєрегуса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42D7F63" w14:textId="5366C2D4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Одеський археологічний музей - зберігає понад 200 тис. оригінальних пам'яток, зібраних під час розкопок давніх стоянок, могильників (Усатове) та античних міст, найбільшу в Україні колекцію єгипетських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старожитностей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У "Золотій скарбниці" музею виставлено золоті вироби епохи бронзи (мікенська школа), скіфського часу, монети античних міст, гривні князівської доби, середньовічні монети (в т. ч. один з десяти відомих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златників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Володимира) тощо. Одеська картинна галерея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сворена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1899 р., розташована у палаці Потоцьких (1804 р., стиль класицизм). Вмішає близько 5 тис. творів мистецтва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ІІ-ХХ ст. (роботи портретистів Д. Левицького, В. Боровиковського, офорти Т. Шевченка, пейзажі А. Куїнджі, І. Левітана,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Саврасова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І. Шишкіна, зал Айвазовського - 20 картин та ін.). Одеський музей західного та східного мистецтва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сворений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1924 р., зберігає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Караваджо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Маньяско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Хальса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Добіньї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14:paraId="307CBAFA" w14:textId="54D135DA" w:rsidR="004949B3" w:rsidRPr="000D6DA0" w:rsidRDefault="004949B3" w:rsidP="000D6DA0">
      <w:pPr>
        <w:pStyle w:val="2"/>
        <w:spacing w:line="360" w:lineRule="auto"/>
        <w:rPr>
          <w:rFonts w:ascii="Times New Roman" w:hAnsi="Times New Roman" w:cs="Times New Roman"/>
          <w:b/>
          <w:bCs/>
          <w:i/>
          <w:sz w:val="28"/>
        </w:rPr>
      </w:pPr>
      <w:bookmarkStart w:id="6" w:name="_Toc370063519"/>
      <w:bookmarkStart w:id="7" w:name="_Toc370063798"/>
      <w:r w:rsidRPr="000D6DA0">
        <w:rPr>
          <w:rFonts w:ascii="Times New Roman" w:hAnsi="Times New Roman" w:cs="Times New Roman"/>
          <w:b/>
          <w:bCs/>
          <w:sz w:val="28"/>
        </w:rPr>
        <w:t>Законодавство України про музеї та музейну справу</w:t>
      </w:r>
      <w:bookmarkEnd w:id="6"/>
      <w:bookmarkEnd w:id="7"/>
    </w:p>
    <w:p w14:paraId="3C1DE3A2" w14:textId="551419AB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Законодавство України про музеї та музейну справу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складається з Основ законодавства України про культуру, Закону "Про музеї та музейну справу" та інших актів законодавства України. Закон від 29 червня 1995 р. регулює суспільні відносини в галузі музейної справи, встановлює правові, економічні, соціальні засади наукового комплектування, вивчення та використання пам'яток природи, матеріальної і духовної культури, діяльності музейних закладів в Україні.</w:t>
      </w:r>
    </w:p>
    <w:p w14:paraId="61B29D62" w14:textId="0FA6B875" w:rsidR="004949B3" w:rsidRPr="000D6DA0" w:rsidRDefault="004949B3" w:rsidP="000D6DA0">
      <w:pPr>
        <w:pStyle w:val="2"/>
        <w:spacing w:line="360" w:lineRule="auto"/>
        <w:rPr>
          <w:rFonts w:ascii="Times New Roman" w:hAnsi="Times New Roman" w:cs="Times New Roman"/>
          <w:b/>
          <w:bCs/>
          <w:sz w:val="28"/>
        </w:rPr>
      </w:pPr>
      <w:bookmarkStart w:id="8" w:name="_Toc370063520"/>
      <w:bookmarkStart w:id="9" w:name="_Toc370063799"/>
      <w:r w:rsidRPr="000D6DA0">
        <w:rPr>
          <w:rFonts w:ascii="Times New Roman" w:hAnsi="Times New Roman" w:cs="Times New Roman"/>
          <w:b/>
          <w:bCs/>
          <w:sz w:val="28"/>
        </w:rPr>
        <w:t>Музейний фонд України</w:t>
      </w:r>
      <w:bookmarkEnd w:id="8"/>
      <w:bookmarkEnd w:id="9"/>
    </w:p>
    <w:p w14:paraId="1C4CA925" w14:textId="77777777" w:rsidR="004949B3" w:rsidRDefault="004949B3" w:rsidP="004949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Музейний фонд України </w:t>
      </w:r>
      <w:r>
        <w:rPr>
          <w:rFonts w:ascii="Times New Roman" w:hAnsi="Times New Roman"/>
          <w:sz w:val="28"/>
          <w:szCs w:val="28"/>
          <w:lang w:val="uk-UA"/>
        </w:rPr>
        <w:t>- це сукупність рухомих пам'яток природи, матеріальної та духовної культури, які мають наукову, історичну, художню чи іншу культурну цінність незалежно від їх виду, місця створення і форм власності та зберігаються на території України, а також нерухомих пам'яток, що знаходяться в музеях України і обліковані в порядку, визначеному законом. Музейний фонд України складається з державної і недержавної частин.</w:t>
      </w:r>
    </w:p>
    <w:p w14:paraId="4401C389" w14:textId="77777777" w:rsidR="004949B3" w:rsidRDefault="004949B3" w:rsidP="004949B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Унікальні пам'ятки Музейного фонду України, а також ті, що мають виняткове наукове, історичне, художнє чи інше культурне значення, незалежно від форм власності і місця зберігання, заносяться Міністерством культури України до Державного реєстру національного культурного надбання. Пам'ятки Музейного фонду України, що є державною власністю, не підлягають приватизації.</w:t>
      </w:r>
    </w:p>
    <w:p w14:paraId="3552AED5" w14:textId="77777777" w:rsidR="004949B3" w:rsidRDefault="004949B3"/>
    <w:sectPr w:rsidR="004949B3" w:rsidSect="00E73C58">
      <w:pgSz w:w="11907" w:h="16840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B3"/>
    <w:rsid w:val="000D6DA0"/>
    <w:rsid w:val="004949B3"/>
    <w:rsid w:val="00A10499"/>
    <w:rsid w:val="00E73C58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1272"/>
  <w15:chartTrackingRefBased/>
  <w15:docId w15:val="{1C33D103-473E-4EA9-8623-162B62D8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9B3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4949B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uk-UA" w:eastAsia="en-US"/>
      <w14:ligatures w14:val="standardContextual"/>
    </w:rPr>
  </w:style>
  <w:style w:type="paragraph" w:styleId="2">
    <w:name w:val="heading 2"/>
    <w:basedOn w:val="a"/>
    <w:next w:val="a"/>
    <w:link w:val="20"/>
    <w:unhideWhenUsed/>
    <w:qFormat/>
    <w:rsid w:val="004949B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uk-UA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9B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uk-UA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9B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uk-UA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9B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uk-UA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9B3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uk-UA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9B3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uk-UA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9B3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uk-UA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9B3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uk-UA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9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949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949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949B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49B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49B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949B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949B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949B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949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4949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949B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uk-UA" w:eastAsia="en-US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4949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949B3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uk-UA" w:eastAsia="en-US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4949B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949B3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uk-UA"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4949B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949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uk-UA" w:eastAsia="en-US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4949B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949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10251</Words>
  <Characters>5844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Історія розвитку музею та музейної справи у світі. Великі музеї</vt:lpstr>
      <vt:lpstr>    2.1. Передісторія музеїв та музейної справи</vt:lpstr>
      <vt:lpstr>    2.2. Великі музеї світу</vt:lpstr>
      <vt:lpstr>    2.3. Всесвітня мережа музеїв та діяльність Міжнародної ради музеїв (ІСОМ)</vt:lpstr>
      <vt:lpstr>3. Історія музейної справи в Україні</vt:lpstr>
      <vt:lpstr>    3.1. Розвиток музейної справи в Україні у XIX -- на початку XX ст.</vt:lpstr>
      <vt:lpstr>    3.2. З історії українського музейництва у XX ст.</vt:lpstr>
      <vt:lpstr>    3.3. Видатні діячі музейної справи в Україні у XX ст.</vt:lpstr>
      <vt:lpstr/>
      <vt:lpstr>4. Музейна справа в сучасній Україні. Провідні музеї</vt:lpstr>
      <vt:lpstr>    4.1. Сучасні провідні музеї України</vt:lpstr>
      <vt:lpstr>    4.2. Законодавство України про музеї та музейну справу</vt:lpstr>
      <vt:lpstr>    4.3. Музейний фонд України</vt:lpstr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2</cp:revision>
  <dcterms:created xsi:type="dcterms:W3CDTF">2024-02-09T09:51:00Z</dcterms:created>
  <dcterms:modified xsi:type="dcterms:W3CDTF">2024-02-14T08:10:00Z</dcterms:modified>
</cp:coreProperties>
</file>