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tabs>
          <w:tab w:val="left" w:pos="1630"/>
        </w:tabs>
        <w:spacing w:before="0" w:after="0" w:line="264" w:lineRule="auto"/>
        <w:ind w:right="242" w:rightChars="0"/>
        <w:jc w:val="center"/>
        <w:rPr>
          <w:rFonts w:hint="default"/>
          <w:b/>
          <w:bCs/>
          <w:sz w:val="26"/>
          <w:lang w:val="uk-UA"/>
        </w:rPr>
      </w:pPr>
      <w:bookmarkStart w:id="0" w:name="_GoBack"/>
      <w:bookmarkEnd w:id="0"/>
      <w:r>
        <w:rPr>
          <w:rFonts w:hint="default"/>
          <w:b/>
          <w:bCs/>
          <w:sz w:val="26"/>
          <w:lang w:val="uk-UA"/>
        </w:rPr>
        <w:t>Структура аналітичного висновку</w:t>
      </w:r>
    </w:p>
    <w:p>
      <w:pPr>
        <w:pStyle w:val="6"/>
        <w:numPr>
          <w:numId w:val="0"/>
        </w:numPr>
        <w:tabs>
          <w:tab w:val="left" w:pos="1630"/>
        </w:tabs>
        <w:spacing w:before="0" w:after="0" w:line="264" w:lineRule="auto"/>
        <w:ind w:right="242" w:rightChars="0"/>
        <w:jc w:val="center"/>
        <w:rPr>
          <w:rFonts w:hint="default"/>
          <w:b/>
          <w:bCs/>
          <w:sz w:val="26"/>
          <w:lang w:val="uk-UA"/>
        </w:rPr>
      </w:pPr>
    </w:p>
    <w:p>
      <w:pPr>
        <w:pStyle w:val="6"/>
        <w:numPr>
          <w:ilvl w:val="0"/>
          <w:numId w:val="1"/>
        </w:numPr>
        <w:tabs>
          <w:tab w:val="left" w:pos="1630"/>
          <w:tab w:val="clear" w:pos="312"/>
        </w:tabs>
        <w:spacing w:before="0" w:after="0" w:line="264" w:lineRule="auto"/>
        <w:ind w:right="242" w:rightChars="0"/>
        <w:jc w:val="both"/>
        <w:rPr>
          <w:sz w:val="26"/>
        </w:rPr>
      </w:pPr>
      <w:r>
        <w:rPr>
          <w:rFonts w:hint="default"/>
          <w:sz w:val="26"/>
          <w:lang w:val="uk-UA"/>
        </w:rPr>
        <w:t> </w:t>
      </w:r>
      <w:r>
        <w:rPr>
          <w:sz w:val="26"/>
        </w:rPr>
        <w:t>зазначається загальна зміна досліджуваного показника (абсолютне та  відносне відхилення) (наприклад, валовий прибуток зріс на 10 тис. грн. або 27</w:t>
      </w:r>
      <w:r>
        <w:rPr>
          <w:spacing w:val="30"/>
          <w:sz w:val="26"/>
        </w:rPr>
        <w:t xml:space="preserve"> </w:t>
      </w:r>
      <w:r>
        <w:rPr>
          <w:spacing w:val="2"/>
          <w:sz w:val="26"/>
        </w:rPr>
        <w:t>%);</w:t>
      </w:r>
    </w:p>
    <w:p>
      <w:pPr>
        <w:pStyle w:val="6"/>
        <w:numPr>
          <w:ilvl w:val="0"/>
          <w:numId w:val="1"/>
        </w:numPr>
        <w:tabs>
          <w:tab w:val="left" w:pos="1630"/>
          <w:tab w:val="clear" w:pos="312"/>
        </w:tabs>
        <w:spacing w:before="0" w:after="0" w:line="264" w:lineRule="auto"/>
        <w:ind w:right="242" w:rightChars="0"/>
        <w:jc w:val="both"/>
        <w:rPr>
          <w:sz w:val="26"/>
        </w:rPr>
      </w:pPr>
      <w:r>
        <w:rPr>
          <w:sz w:val="26"/>
        </w:rPr>
        <w:t xml:space="preserve">для прибуткових та розрахункових показників вказується чи є зміна досліджуваного показника позитивною чи </w:t>
      </w:r>
      <w:r>
        <w:rPr>
          <w:spacing w:val="2"/>
          <w:sz w:val="26"/>
        </w:rPr>
        <w:t xml:space="preserve">негативною </w:t>
      </w:r>
      <w:r>
        <w:rPr>
          <w:sz w:val="26"/>
        </w:rPr>
        <w:t xml:space="preserve">і чому (наприклад, зростання валового прибутку є позитивною тенденцією і свідчить про покращення основного виду діяльності; зменшення матеріаловіддачі на 0,2 є негативною тенденцією, оскільки у звітному періоді підприємство отримало на 0,20 грн. </w:t>
      </w:r>
      <w:r>
        <w:rPr>
          <w:spacing w:val="4"/>
          <w:sz w:val="26"/>
        </w:rPr>
        <w:t xml:space="preserve">менше </w:t>
      </w:r>
      <w:r>
        <w:rPr>
          <w:sz w:val="26"/>
        </w:rPr>
        <w:t xml:space="preserve">чистого </w:t>
      </w:r>
      <w:r>
        <w:rPr>
          <w:spacing w:val="2"/>
          <w:sz w:val="26"/>
        </w:rPr>
        <w:t xml:space="preserve">доходу </w:t>
      </w:r>
      <w:r>
        <w:rPr>
          <w:sz w:val="26"/>
        </w:rPr>
        <w:t>від 1 грн. понесених матеріальних</w:t>
      </w:r>
      <w:r>
        <w:rPr>
          <w:spacing w:val="6"/>
          <w:sz w:val="26"/>
        </w:rPr>
        <w:t xml:space="preserve"> </w:t>
      </w:r>
      <w:r>
        <w:rPr>
          <w:sz w:val="26"/>
        </w:rPr>
        <w:t>витрат);</w:t>
      </w:r>
    </w:p>
    <w:p>
      <w:pPr>
        <w:pStyle w:val="6"/>
        <w:numPr>
          <w:ilvl w:val="0"/>
          <w:numId w:val="1"/>
        </w:numPr>
        <w:tabs>
          <w:tab w:val="left" w:pos="1630"/>
          <w:tab w:val="clear" w:pos="312"/>
        </w:tabs>
        <w:spacing w:before="0" w:after="0" w:line="264" w:lineRule="auto"/>
        <w:ind w:right="242" w:rightChars="0"/>
        <w:jc w:val="both"/>
        <w:rPr>
          <w:sz w:val="26"/>
        </w:rPr>
      </w:pPr>
      <w:r>
        <w:rPr>
          <w:sz w:val="26"/>
        </w:rPr>
        <w:t>зазначаються основні чинники, які вплинули на зміну досліджуваного показника (наприклад, зростання валового прибутку могло бути зумовлене або збільшенням</w:t>
      </w:r>
      <w:r>
        <w:rPr>
          <w:spacing w:val="18"/>
          <w:sz w:val="26"/>
        </w:rPr>
        <w:t xml:space="preserve"> </w:t>
      </w:r>
      <w:r>
        <w:rPr>
          <w:sz w:val="26"/>
        </w:rPr>
        <w:t>обсягів</w:t>
      </w:r>
      <w:r>
        <w:rPr>
          <w:spacing w:val="17"/>
          <w:sz w:val="26"/>
        </w:rPr>
        <w:t xml:space="preserve"> </w:t>
      </w:r>
      <w:r>
        <w:rPr>
          <w:sz w:val="26"/>
        </w:rPr>
        <w:t>реалізованої</w:t>
      </w:r>
      <w:r>
        <w:rPr>
          <w:spacing w:val="18"/>
          <w:sz w:val="26"/>
        </w:rPr>
        <w:t xml:space="preserve"> </w:t>
      </w:r>
      <w:r>
        <w:rPr>
          <w:sz w:val="26"/>
        </w:rPr>
        <w:t>продукції,</w:t>
      </w:r>
      <w:r>
        <w:rPr>
          <w:spacing w:val="20"/>
          <w:sz w:val="26"/>
        </w:rPr>
        <w:t xml:space="preserve"> </w:t>
      </w:r>
      <w:r>
        <w:rPr>
          <w:sz w:val="26"/>
        </w:rPr>
        <w:t>або</w:t>
      </w:r>
      <w:r>
        <w:rPr>
          <w:spacing w:val="19"/>
          <w:sz w:val="26"/>
        </w:rPr>
        <w:t xml:space="preserve"> </w:t>
      </w:r>
      <w:r>
        <w:rPr>
          <w:spacing w:val="3"/>
          <w:sz w:val="26"/>
        </w:rPr>
        <w:t>зростанням</w:t>
      </w:r>
      <w:r>
        <w:rPr>
          <w:spacing w:val="14"/>
          <w:sz w:val="26"/>
        </w:rPr>
        <w:t xml:space="preserve"> </w:t>
      </w:r>
      <w:r>
        <w:rPr>
          <w:sz w:val="26"/>
        </w:rPr>
        <w:t>відпускної</w:t>
      </w:r>
      <w:r>
        <w:rPr>
          <w:spacing w:val="20"/>
          <w:sz w:val="26"/>
        </w:rPr>
        <w:t xml:space="preserve"> </w:t>
      </w:r>
      <w:r>
        <w:rPr>
          <w:sz w:val="26"/>
        </w:rPr>
        <w:t>ціни</w:t>
      </w:r>
      <w:r>
        <w:rPr>
          <w:spacing w:val="20"/>
          <w:sz w:val="26"/>
        </w:rPr>
        <w:t xml:space="preserve"> </w:t>
      </w:r>
      <w:r>
        <w:rPr>
          <w:sz w:val="26"/>
        </w:rPr>
        <w:t>одиниці</w:t>
      </w:r>
    </w:p>
    <w:p>
      <w:pPr>
        <w:spacing w:after="0" w:line="264" w:lineRule="auto"/>
        <w:jc w:val="both"/>
        <w:rPr>
          <w:sz w:val="26"/>
        </w:rPr>
        <w:sectPr>
          <w:pgSz w:w="11910" w:h="16840"/>
          <w:pgMar w:top="1700" w:right="340" w:bottom="1180" w:left="920" w:header="965" w:footer="918" w:gutter="0"/>
          <w:cols w:space="720" w:num="1"/>
        </w:sectPr>
      </w:pPr>
    </w:p>
    <w:p>
      <w:pPr>
        <w:pStyle w:val="5"/>
        <w:spacing w:before="17" w:line="264" w:lineRule="auto"/>
        <w:ind w:left="212" w:right="246"/>
        <w:jc w:val="both"/>
      </w:pPr>
      <w:r>
        <w:t>продукції, або зменшенням собівартості одиниці продукції (за рахунок введення ресурсозберігаючих технологій) тощо);</w:t>
      </w:r>
    </w:p>
    <w:p>
      <w:pPr>
        <w:pStyle w:val="6"/>
        <w:numPr>
          <w:ilvl w:val="0"/>
          <w:numId w:val="2"/>
        </w:numPr>
        <w:tabs>
          <w:tab w:val="left" w:pos="1630"/>
        </w:tabs>
        <w:spacing w:before="0" w:after="0" w:line="264" w:lineRule="auto"/>
        <w:ind w:left="212" w:right="245" w:firstLine="708"/>
        <w:jc w:val="both"/>
        <w:rPr>
          <w:sz w:val="26"/>
        </w:rPr>
      </w:pPr>
      <w:r>
        <w:rPr>
          <w:sz w:val="26"/>
        </w:rPr>
        <w:t>всі показники аналізуються не ізольовано один від одного, а у взаємозв’язку та</w:t>
      </w:r>
      <w:r>
        <w:rPr>
          <w:spacing w:val="4"/>
          <w:sz w:val="26"/>
        </w:rPr>
        <w:t xml:space="preserve"> </w:t>
      </w:r>
      <w:r>
        <w:rPr>
          <w:sz w:val="26"/>
        </w:rPr>
        <w:t>взаємозалежності;</w:t>
      </w:r>
    </w:p>
    <w:p>
      <w:pPr>
        <w:pStyle w:val="6"/>
        <w:numPr>
          <w:ilvl w:val="0"/>
          <w:numId w:val="2"/>
        </w:numPr>
        <w:tabs>
          <w:tab w:val="left" w:pos="1630"/>
        </w:tabs>
        <w:spacing w:before="0" w:after="0" w:line="264" w:lineRule="auto"/>
        <w:ind w:left="212" w:right="243" w:firstLine="708"/>
        <w:jc w:val="both"/>
        <w:rPr>
          <w:sz w:val="26"/>
        </w:rPr>
      </w:pPr>
      <w:r>
        <w:rPr>
          <w:sz w:val="26"/>
        </w:rPr>
        <w:t xml:space="preserve">в кінці </w:t>
      </w:r>
      <w:r>
        <w:rPr>
          <w:spacing w:val="2"/>
          <w:sz w:val="26"/>
        </w:rPr>
        <w:t xml:space="preserve">необхідно </w:t>
      </w:r>
      <w:r>
        <w:rPr>
          <w:sz w:val="26"/>
        </w:rPr>
        <w:t>надати рекомендації управлінському персоналу щодо усунення негативних змін, збереження позитивних тенденцій, виявляються резерви підвищення ефективності господарської</w:t>
      </w:r>
      <w:r>
        <w:rPr>
          <w:spacing w:val="14"/>
          <w:sz w:val="26"/>
        </w:rPr>
        <w:t xml:space="preserve"> </w:t>
      </w:r>
      <w:r>
        <w:rPr>
          <w:sz w:val="26"/>
        </w:rPr>
        <w:t>діяльності.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0D33F"/>
    <w:multiLevelType w:val="singleLevel"/>
    <w:tmpl w:val="9540D33F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212" w:hanging="7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6"/>
        <w:szCs w:val="26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70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70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47" w:hanging="70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70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33" w:hanging="70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75" w:hanging="70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18" w:hanging="70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5B58"/>
    <w:rsid w:val="1F8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212" w:firstLine="70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2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type="paragraph" w:styleId="6">
    <w:name w:val="List Paragraph"/>
    <w:basedOn w:val="1"/>
    <w:qFormat/>
    <w:uiPriority w:val="1"/>
    <w:pPr>
      <w:spacing w:before="30"/>
      <w:ind w:left="212" w:firstLine="708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2022-09-06T05:04:00Z</dcterms:created>
  <dc:creator>Богдан</dc:creator>
  <cp:lastModifiedBy>Богдан</cp:lastModifiedBy>
  <dcterms:modified xsi:type="dcterms:W3CDTF">2022-09-06T05:06:06Z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98441216F3A14279B013D22D1B7E149C</vt:lpwstr>
  </property>
</Properties>
</file>