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6E" w:rsidRPr="00111AA4" w:rsidRDefault="001B106E" w:rsidP="001B106E">
      <w:pPr>
        <w:jc w:val="center"/>
        <w:rPr>
          <w:rFonts w:ascii="Arial" w:hAnsi="Arial" w:cs="Arial"/>
          <w:b/>
          <w:bCs/>
        </w:rPr>
      </w:pPr>
      <w:r w:rsidRPr="00111AA4">
        <w:rPr>
          <w:rFonts w:ascii="Arial" w:hAnsi="Arial" w:cs="Arial"/>
          <w:b/>
          <w:bCs/>
        </w:rPr>
        <w:t>Варіант 1</w:t>
      </w:r>
    </w:p>
    <w:p w:rsidR="001B106E" w:rsidRPr="00E77B35" w:rsidRDefault="001B106E" w:rsidP="001B106E">
      <w:pPr>
        <w:ind w:left="360"/>
        <w:jc w:val="both"/>
        <w:rPr>
          <w:rFonts w:ascii="Arial" w:hAnsi="Arial" w:cs="Arial"/>
          <w:b/>
          <w:bCs/>
          <w:sz w:val="16"/>
          <w:szCs w:val="16"/>
        </w:rPr>
      </w:pPr>
    </w:p>
    <w:p w:rsidR="001B106E" w:rsidRPr="00111AA4" w:rsidRDefault="001B106E" w:rsidP="001B106E">
      <w:pPr>
        <w:spacing w:line="36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111AA4">
        <w:rPr>
          <w:rFonts w:ascii="Arial" w:hAnsi="Arial" w:cs="Arial"/>
          <w:b/>
          <w:sz w:val="22"/>
          <w:szCs w:val="22"/>
        </w:rPr>
        <w:t>I. Виберіть правильну відповідь.</w:t>
      </w:r>
    </w:p>
    <w:p w:rsidR="001B106E" w:rsidRPr="00E77B35" w:rsidRDefault="001B106E" w:rsidP="001B106E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2"/>
        <w:gridCol w:w="883"/>
        <w:gridCol w:w="4076"/>
        <w:gridCol w:w="1452"/>
      </w:tblGrid>
      <w:tr w:rsidR="001B106E" w:rsidRPr="00E77B35" w:rsidTr="001B106E">
        <w:tc>
          <w:tcPr>
            <w:tcW w:w="5495" w:type="dxa"/>
            <w:gridSpan w:val="2"/>
          </w:tcPr>
          <w:p w:rsidR="001B106E" w:rsidRPr="001B106E" w:rsidRDefault="001B106E" w:rsidP="001B106E">
            <w:pPr>
              <w:numPr>
                <w:ilvl w:val="0"/>
                <w:numId w:val="7"/>
              </w:numPr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>Комплекс робіт для підтримання справності або працездатності об’єкту при підготовці та використанні по призначенню, зберіганні та транспортуванні називають: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профілактичним обслуговуванням;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технічним обслуговуванням;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поточним ремонтом;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капітальним ремонтом;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контролем технічного стану.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06E" w:rsidRPr="001B106E" w:rsidRDefault="001B106E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>2. Що характеризує коефіцієнт готовності: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безвідмовність апаратури;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ремонтопридатність апаратури;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в) довговічність та </w:t>
            </w:r>
            <w:proofErr w:type="spellStart"/>
            <w:r w:rsidRPr="00E77B35">
              <w:rPr>
                <w:rFonts w:ascii="Arial" w:hAnsi="Arial" w:cs="Arial"/>
                <w:sz w:val="18"/>
                <w:szCs w:val="18"/>
              </w:rPr>
              <w:t>зберігаємість</w:t>
            </w:r>
            <w:proofErr w:type="spellEnd"/>
            <w:r w:rsidRPr="00E77B35">
              <w:rPr>
                <w:rFonts w:ascii="Arial" w:hAnsi="Arial" w:cs="Arial"/>
                <w:sz w:val="18"/>
                <w:szCs w:val="18"/>
              </w:rPr>
              <w:t xml:space="preserve"> апаратури;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як безвідмовність так і ремонтопридатність;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варіанти а), б), в) разом.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06E" w:rsidRPr="001B106E" w:rsidRDefault="001B106E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>3. До якої групи факторів, що впливає на ремонтопридатність відносять спосіб використання: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організаційні;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конструктивні;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умови експлуатації;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матеріально-технічні;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інша відповідь.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06E" w:rsidRPr="001B106E" w:rsidRDefault="001B106E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>4. Який метод  оптимального резервування рекомендовано використовувати на етапі кінцевого проектування (забезпечує високу точність та простоту розрахунку)?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метод прямого перебору;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метод невизначених множників Лагранжа;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градієнтний метод;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метод динамічного програмування;</w:t>
            </w:r>
          </w:p>
          <w:p w:rsidR="001B106E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інший варіант.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06E" w:rsidRPr="001B106E" w:rsidRDefault="001B106E" w:rsidP="001B106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>Дана схема яка складається з 2-х паралельно з’єднаних діодів. Як буде виглядати логічна схема надійності системи при 2-х видах відмов: коротке замикання (</w:t>
            </w:r>
            <w:proofErr w:type="spellStart"/>
            <w:r w:rsidRPr="001B106E">
              <w:rPr>
                <w:rFonts w:ascii="Arial" w:hAnsi="Arial" w:cs="Arial"/>
                <w:b/>
                <w:sz w:val="18"/>
                <w:szCs w:val="18"/>
              </w:rPr>
              <w:t>к.з</w:t>
            </w:r>
            <w:proofErr w:type="spellEnd"/>
            <w:r w:rsidRPr="001B106E">
              <w:rPr>
                <w:rFonts w:ascii="Arial" w:hAnsi="Arial" w:cs="Arial"/>
                <w:b/>
                <w:sz w:val="18"/>
                <w:szCs w:val="18"/>
              </w:rPr>
              <w:t>.) та обрив (о).</w:t>
            </w:r>
          </w:p>
          <w:p w:rsidR="001B106E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а)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5854" w:dyaOrig="1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36pt" o:ole="">
                  <v:imagedata r:id="rId5" o:title=""/>
                </v:shape>
                <o:OLEObject Type="Embed" ProgID="Visio.Drawing.11" ShapeID="_x0000_i1025" DrawAspect="Content" ObjectID="_1732560574" r:id="rId6"/>
              </w:object>
            </w:r>
            <w:r w:rsidRPr="00E77B35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B35">
              <w:rPr>
                <w:rFonts w:ascii="Arial" w:hAnsi="Arial" w:cs="Arial"/>
                <w:sz w:val="18"/>
                <w:szCs w:val="18"/>
              </w:rPr>
              <w:t xml:space="preserve">б)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3334" w:dyaOrig="634">
                <v:shape id="_x0000_i1026" type="#_x0000_t75" style="width:87pt;height:16.5pt" o:ole="">
                  <v:imagedata r:id="rId7" o:title=""/>
                </v:shape>
                <o:OLEObject Type="Embed" ProgID="Visio.Drawing.11" ShapeID="_x0000_i1026" DrawAspect="Content" ObjectID="_1732560575" r:id="rId8"/>
              </w:object>
            </w:r>
            <w:r w:rsidRPr="00E77B3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в)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5833" w:dyaOrig="1714">
                <v:shape id="_x0000_i1027" type="#_x0000_t75" style="width:107.25pt;height:31.5pt" o:ole="">
                  <v:imagedata r:id="rId9" o:title=""/>
                </v:shape>
                <o:OLEObject Type="Embed" ProgID="Visio.Drawing.11" ShapeID="_x0000_i1027" DrawAspect="Content" ObjectID="_1732560576" r:id="rId10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E77B35">
              <w:rPr>
                <w:rFonts w:ascii="Arial" w:hAnsi="Arial" w:cs="Arial"/>
                <w:sz w:val="18"/>
                <w:szCs w:val="18"/>
              </w:rPr>
              <w:t xml:space="preserve">г)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4572" w:dyaOrig="1714">
                <v:shape id="_x0000_i1028" type="#_x0000_t75" style="width:114pt;height:42.75pt" o:ole="">
                  <v:imagedata r:id="rId11" o:title=""/>
                </v:shape>
                <o:OLEObject Type="Embed" ProgID="Visio.Drawing.11" ShapeID="_x0000_i1028" DrawAspect="Content" ObjectID="_1732560577" r:id="rId12"/>
              </w:object>
            </w:r>
            <w:r w:rsidRPr="00E77B3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інший варіант.</w:t>
            </w:r>
          </w:p>
          <w:p w:rsidR="001B106E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06E" w:rsidRPr="00E77B35" w:rsidRDefault="001B106E" w:rsidP="001B106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>Відношення кількості відмов, що виявлені під час виконання профілактичних робіт, до повного числа відмов</w:t>
            </w:r>
            <w:r w:rsidRPr="00E77B35">
              <w:rPr>
                <w:rFonts w:ascii="Arial" w:hAnsi="Arial" w:cs="Arial"/>
                <w:sz w:val="18"/>
                <w:szCs w:val="18"/>
              </w:rPr>
              <w:t xml:space="preserve"> що зареєстровані в процесі експлуатації – це: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коефіцієнт технічного використання;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коефіцієнт ефективності профілактики;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коефіцієнт простою;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г) </w:t>
            </w:r>
            <w:proofErr w:type="spellStart"/>
            <w:r w:rsidRPr="00E77B35">
              <w:rPr>
                <w:rFonts w:ascii="Arial" w:hAnsi="Arial" w:cs="Arial"/>
                <w:sz w:val="18"/>
                <w:szCs w:val="18"/>
              </w:rPr>
              <w:t>трудоємність</w:t>
            </w:r>
            <w:proofErr w:type="spellEnd"/>
            <w:r w:rsidRPr="00E77B35">
              <w:rPr>
                <w:rFonts w:ascii="Arial" w:hAnsi="Arial" w:cs="Arial"/>
                <w:sz w:val="18"/>
                <w:szCs w:val="18"/>
              </w:rPr>
              <w:t xml:space="preserve"> технічного використання;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інша відповідь.</w:t>
            </w:r>
          </w:p>
          <w:p w:rsidR="001B106E" w:rsidRPr="001B106E" w:rsidRDefault="001B106E" w:rsidP="001B106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7. </w:t>
            </w:r>
            <w:proofErr w:type="spellStart"/>
            <w:r w:rsidRPr="001B106E">
              <w:rPr>
                <w:rFonts w:ascii="Arial" w:hAnsi="Arial" w:cs="Arial"/>
                <w:b/>
                <w:sz w:val="18"/>
                <w:szCs w:val="18"/>
                <w:lang w:val="ru-RU"/>
              </w:rPr>
              <w:t>Опишіть</w:t>
            </w:r>
            <w:proofErr w:type="spellEnd"/>
            <w:r w:rsidRPr="001B106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106E">
              <w:rPr>
                <w:rFonts w:ascii="Arial" w:hAnsi="Arial" w:cs="Arial"/>
                <w:b/>
                <w:sz w:val="18"/>
                <w:szCs w:val="18"/>
                <w:lang w:val="ru-RU"/>
              </w:rPr>
              <w:t>який</w:t>
            </w:r>
            <w:proofErr w:type="spellEnd"/>
            <w:r w:rsidRPr="001B106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вид резерву </w:t>
            </w:r>
            <w:proofErr w:type="spellStart"/>
            <w:r w:rsidRPr="001B106E">
              <w:rPr>
                <w:rFonts w:ascii="Arial" w:hAnsi="Arial" w:cs="Arial"/>
                <w:b/>
                <w:sz w:val="18"/>
                <w:szCs w:val="18"/>
                <w:lang w:val="ru-RU"/>
              </w:rPr>
              <w:t>використано</w:t>
            </w:r>
            <w:proofErr w:type="spellEnd"/>
            <w:r w:rsidRPr="001B106E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:rsidR="001B106E" w:rsidRPr="00E77B35" w:rsidRDefault="001B106E" w:rsidP="001B1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u-RU"/>
              </w:rPr>
              <w:drawing>
                <wp:inline distT="0" distB="0" distL="0" distR="0">
                  <wp:extent cx="1009650" cy="762000"/>
                  <wp:effectExtent l="19050" t="0" r="0" b="0"/>
                  <wp:docPr id="2" name="Рисунок 7" descr="r11.gif (166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11.gif (166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8000" contrast="30000"/>
                          </a:blip>
                          <a:srcRect b="35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06E" w:rsidRPr="00E77B35" w:rsidRDefault="001B106E" w:rsidP="001B106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Роздільне навантажене резервування;</w:t>
            </w:r>
          </w:p>
          <w:p w:rsidR="001B106E" w:rsidRPr="00E77B35" w:rsidRDefault="001B106E" w:rsidP="001B106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послідовне з’єднання ;</w:t>
            </w:r>
          </w:p>
          <w:p w:rsidR="001B106E" w:rsidRPr="00E77B35" w:rsidRDefault="001B106E" w:rsidP="001B106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навантажене дублювання;</w:t>
            </w:r>
          </w:p>
          <w:p w:rsidR="001B106E" w:rsidRPr="00E77B35" w:rsidRDefault="001B106E" w:rsidP="001B106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загальне ненавантажене резервування;</w:t>
            </w:r>
          </w:p>
          <w:p w:rsidR="001B106E" w:rsidRPr="00E77B35" w:rsidRDefault="001B106E" w:rsidP="001B106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загальне ненавантажене резервування.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8</w:t>
            </w:r>
            <w:r w:rsidRPr="001B106E">
              <w:rPr>
                <w:rFonts w:ascii="Arial" w:hAnsi="Arial" w:cs="Arial"/>
                <w:b/>
                <w:sz w:val="18"/>
                <w:szCs w:val="18"/>
              </w:rPr>
              <w:t>. При якому методі оптимального пошуку відмов відбувається забезпечення співвідношення</w:t>
            </w:r>
            <w:r w:rsidRPr="00E77B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B35">
              <w:rPr>
                <w:rFonts w:ascii="Arial" w:hAnsi="Arial" w:cs="Arial"/>
                <w:position w:val="-34"/>
                <w:sz w:val="18"/>
                <w:szCs w:val="18"/>
              </w:rPr>
              <w:object w:dxaOrig="1920" w:dyaOrig="780">
                <v:shape id="_x0000_i1029" type="#_x0000_t75" style="width:55.5pt;height:22.5pt" o:ole="">
                  <v:imagedata r:id="rId14" o:title=""/>
                </v:shape>
                <o:OLEObject Type="Embed" ProgID="Equation.3" ShapeID="_x0000_i1029" DrawAspect="Content" ObjectID="_1732560578" r:id="rId15"/>
              </w:object>
            </w:r>
            <w:r w:rsidRPr="00E77B35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1B106E" w:rsidRPr="00E77B35" w:rsidRDefault="001B106E" w:rsidP="001B106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Логіко - імовірнісний метод;</w:t>
            </w:r>
          </w:p>
          <w:p w:rsidR="001B106E" w:rsidRPr="00E77B35" w:rsidRDefault="001B106E" w:rsidP="001B106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Метод половинного розбиття;</w:t>
            </w:r>
          </w:p>
          <w:p w:rsidR="001B106E" w:rsidRPr="00E77B35" w:rsidRDefault="001B106E" w:rsidP="001B106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Метод діагностичних таблиць.;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06E" w:rsidRPr="001B106E" w:rsidRDefault="001B106E" w:rsidP="009344ED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9. Заходи по підготовці кваліфікованих кадрів, забезпеченню апаратури запасними елементами, планування експлуатації та обробці результатів експлуатації це</w:t>
            </w:r>
          </w:p>
          <w:p w:rsidR="001B106E" w:rsidRPr="00E77B35" w:rsidRDefault="001B106E" w:rsidP="001B106E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 xml:space="preserve">Контроль технічного стану </w:t>
            </w:r>
            <w:proofErr w:type="spellStart"/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РЕА</w:t>
            </w:r>
            <w:proofErr w:type="spellEnd"/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;</w:t>
            </w:r>
          </w:p>
          <w:p w:rsidR="001B106E" w:rsidRPr="00E77B35" w:rsidRDefault="001B106E" w:rsidP="001B106E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Організація експлуатації;</w:t>
            </w:r>
          </w:p>
          <w:p w:rsidR="001B106E" w:rsidRPr="00E77B35" w:rsidRDefault="001B106E" w:rsidP="001B106E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Організація технічного обслуговування;</w:t>
            </w:r>
          </w:p>
          <w:p w:rsidR="001B106E" w:rsidRPr="00E77B35" w:rsidRDefault="001B106E" w:rsidP="001B106E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Організація забезпечення комплектом ЗІП;</w:t>
            </w:r>
          </w:p>
          <w:p w:rsidR="001B106E" w:rsidRDefault="001B106E" w:rsidP="009344ED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</w:p>
          <w:p w:rsidR="001B106E" w:rsidRPr="001B106E" w:rsidRDefault="001B106E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>10. Як можна скоротити час ремонту?</w:t>
            </w:r>
          </w:p>
          <w:p w:rsidR="001B106E" w:rsidRPr="00E77B35" w:rsidRDefault="001B106E" w:rsidP="001B106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Використати модульно-блочну побудову з легким доступом до елементів та блоків.</w:t>
            </w:r>
          </w:p>
          <w:p w:rsidR="001B106E" w:rsidRPr="00E77B35" w:rsidRDefault="001B106E" w:rsidP="001B106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Використати автоматичну індикацію несправностей.</w:t>
            </w:r>
          </w:p>
          <w:p w:rsidR="001B106E" w:rsidRPr="00E77B35" w:rsidRDefault="001B106E" w:rsidP="001B106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Використавши кваліфікований персонал та професійну техніку.</w:t>
            </w:r>
          </w:p>
          <w:p w:rsidR="001B106E" w:rsidRPr="00E77B35" w:rsidRDefault="001B106E" w:rsidP="001B106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Використавши спеціальні схеми пошуку відмов.</w:t>
            </w:r>
          </w:p>
          <w:p w:rsidR="001B106E" w:rsidRPr="00E77B35" w:rsidRDefault="001B106E" w:rsidP="001B106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Списавши апарат.</w:t>
            </w:r>
          </w:p>
          <w:p w:rsidR="001B106E" w:rsidRPr="00E77B35" w:rsidRDefault="001B106E" w:rsidP="009344ED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</w:p>
          <w:p w:rsidR="001B106E" w:rsidRPr="001B106E" w:rsidRDefault="001B106E" w:rsidP="001B106E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1B106E">
              <w:rPr>
                <w:rFonts w:ascii="Arial" w:hAnsi="Arial" w:cs="Arial"/>
                <w:b/>
                <w:sz w:val="18"/>
                <w:szCs w:val="18"/>
              </w:rPr>
              <w:t>Який тип ремонту використовують  - ремонт, який проводиться з метою відновлення справності об’єкта.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</w:t>
            </w:r>
            <w:r w:rsidRPr="00E77B35">
              <w:rPr>
                <w:rFonts w:ascii="Arial" w:hAnsi="Arial" w:cs="Arial"/>
                <w:sz w:val="18"/>
                <w:szCs w:val="18"/>
              </w:rPr>
              <w:t>) плановий ремонт;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неплановий ремонт;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поточний ремонт;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капітальним ремонтом;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середній ремонт.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06E" w:rsidRPr="001B106E" w:rsidRDefault="001B106E" w:rsidP="001B10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Pr="001B106E">
              <w:rPr>
                <w:rFonts w:ascii="Arial" w:hAnsi="Arial" w:cs="Arial"/>
                <w:b/>
                <w:sz w:val="18"/>
                <w:szCs w:val="18"/>
              </w:rPr>
              <w:t>До якої групи факторів, що впливає на ремонтопридатність відносять підготовка обслуговуючого персоналу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організаційні;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конструктивні;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умови експлуатації;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матеріально-технічні;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інша відповідь.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06E" w:rsidRPr="001B106E" w:rsidRDefault="001B106E" w:rsidP="001B10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Pr="001B106E">
              <w:rPr>
                <w:rFonts w:ascii="Arial" w:hAnsi="Arial" w:cs="Arial"/>
                <w:b/>
                <w:sz w:val="18"/>
                <w:szCs w:val="18"/>
              </w:rPr>
              <w:t>Що характеризує коефіцієнт готовності: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безвідмовність апаратури;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ремонтопридатність апаратури;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в) довговічність та </w:t>
            </w:r>
            <w:proofErr w:type="spellStart"/>
            <w:r w:rsidRPr="00E77B35">
              <w:rPr>
                <w:rFonts w:ascii="Arial" w:hAnsi="Arial" w:cs="Arial"/>
                <w:sz w:val="18"/>
                <w:szCs w:val="18"/>
              </w:rPr>
              <w:t>зберігаємість</w:t>
            </w:r>
            <w:proofErr w:type="spellEnd"/>
            <w:r w:rsidRPr="00E77B35">
              <w:rPr>
                <w:rFonts w:ascii="Arial" w:hAnsi="Arial" w:cs="Arial"/>
                <w:sz w:val="18"/>
                <w:szCs w:val="18"/>
              </w:rPr>
              <w:t xml:space="preserve"> апаратури;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як безвідмовність так і ремонтопридатність;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варіанти а), б), в) разом.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06E" w:rsidRPr="001B106E" w:rsidRDefault="001B106E" w:rsidP="001B10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1B106E">
              <w:rPr>
                <w:rFonts w:ascii="Arial" w:hAnsi="Arial" w:cs="Arial"/>
                <w:b/>
                <w:sz w:val="18"/>
                <w:szCs w:val="18"/>
              </w:rPr>
              <w:t>Для чого використовується резервування в схемах: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для підвищення надійності схеми;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для покращення роботи схеми;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для виконання схемою додаткових функцій;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для забезпечення заданого рівня надійності;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інший варіант.</w:t>
            </w:r>
          </w:p>
          <w:p w:rsidR="001B106E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06E" w:rsidRPr="001B106E" w:rsidRDefault="001B106E" w:rsidP="001B10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B106E">
              <w:rPr>
                <w:rFonts w:ascii="Arial" w:hAnsi="Arial" w:cs="Arial"/>
                <w:b/>
                <w:sz w:val="18"/>
                <w:szCs w:val="18"/>
              </w:rPr>
              <w:t>5. До яких наслідків приведе коротке замикання одного елементу в схемах при паралельному та послідовному з’єднанні елементів?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паралельне – відмова всієї схеми, послідовне – схема зберігає працездатність;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паралельне – відмова одного елементу, послідовне – схема зберігає працездатність;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паралельне – схема зберігає працездатність, послідовне – відмова всієї схеми;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паралельне – відмова одного елементу, послідовне – схема зберігає працездатність;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паралельне – відмова всієї схеми, послідовне – відмова одного елементу.</w:t>
            </w: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06E" w:rsidRPr="00E77B35" w:rsidTr="001B106E">
        <w:trPr>
          <w:gridAfter w:val="1"/>
          <w:wAfter w:w="1452" w:type="dxa"/>
        </w:trPr>
        <w:tc>
          <w:tcPr>
            <w:tcW w:w="4612" w:type="dxa"/>
          </w:tcPr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06E" w:rsidRPr="001B106E" w:rsidRDefault="001B106E" w:rsidP="001B10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B106E">
              <w:rPr>
                <w:rFonts w:ascii="Arial" w:hAnsi="Arial" w:cs="Arial"/>
                <w:b/>
                <w:sz w:val="18"/>
                <w:szCs w:val="18"/>
              </w:rPr>
              <w:t>6. Для чого використовується резервування в схемах: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для підвищення надійності схеми;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для покращення роботи схеми;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для виконання схемою додаткових функцій;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для забезпечення заданого рівня надійності;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інший варіант.</w:t>
            </w:r>
          </w:p>
          <w:p w:rsidR="001B106E" w:rsidRPr="00393DFF" w:rsidRDefault="001B106E" w:rsidP="001B10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106E" w:rsidRPr="00393DFF" w:rsidRDefault="001B106E" w:rsidP="001B10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DFF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393D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7. </w:t>
            </w:r>
            <w:proofErr w:type="spellStart"/>
            <w:r w:rsidRPr="00393DFF">
              <w:rPr>
                <w:rFonts w:ascii="Arial" w:hAnsi="Arial" w:cs="Arial"/>
                <w:b/>
                <w:sz w:val="18"/>
                <w:szCs w:val="18"/>
                <w:lang w:val="ru-RU"/>
              </w:rPr>
              <w:t>Опишіть</w:t>
            </w:r>
            <w:proofErr w:type="spellEnd"/>
            <w:r w:rsidRPr="00393D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3DFF">
              <w:rPr>
                <w:rFonts w:ascii="Arial" w:hAnsi="Arial" w:cs="Arial"/>
                <w:b/>
                <w:sz w:val="18"/>
                <w:szCs w:val="18"/>
                <w:lang w:val="ru-RU"/>
              </w:rPr>
              <w:t>який</w:t>
            </w:r>
            <w:proofErr w:type="spellEnd"/>
            <w:r w:rsidRPr="00393D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вид резерву </w:t>
            </w:r>
            <w:proofErr w:type="spellStart"/>
            <w:r w:rsidRPr="00393DFF">
              <w:rPr>
                <w:rFonts w:ascii="Arial" w:hAnsi="Arial" w:cs="Arial"/>
                <w:b/>
                <w:sz w:val="18"/>
                <w:szCs w:val="18"/>
                <w:lang w:val="ru-RU"/>
              </w:rPr>
              <w:t>використано</w:t>
            </w:r>
            <w:proofErr w:type="spellEnd"/>
            <w:r w:rsidRPr="00393DF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:rsidR="001B106E" w:rsidRPr="00E77B35" w:rsidRDefault="001B106E" w:rsidP="001B1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u-RU"/>
              </w:rPr>
              <w:drawing>
                <wp:inline distT="0" distB="0" distL="0" distR="0">
                  <wp:extent cx="2238375" cy="1257300"/>
                  <wp:effectExtent l="19050" t="0" r="9525" b="0"/>
                  <wp:docPr id="3" name="Рисунок 1" descr="r8.1.gif (366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8.1.gif (366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12000" contrast="30000"/>
                          </a:blip>
                          <a:srcRect b="18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06E" w:rsidRPr="00E77B35" w:rsidRDefault="001B106E" w:rsidP="001B106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Роздільне навантажене резервування;</w:t>
            </w:r>
          </w:p>
          <w:p w:rsidR="001B106E" w:rsidRPr="00E77B35" w:rsidRDefault="001B106E" w:rsidP="001B106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загальне навантажене резервування;</w:t>
            </w:r>
          </w:p>
          <w:p w:rsidR="001B106E" w:rsidRPr="00E77B35" w:rsidRDefault="001B106E" w:rsidP="001B106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Роздільне ненавантажене резервування;</w:t>
            </w:r>
          </w:p>
          <w:p w:rsidR="001B106E" w:rsidRPr="00E77B35" w:rsidRDefault="001B106E" w:rsidP="001B106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загальне ненавантажене резервування;</w:t>
            </w:r>
          </w:p>
          <w:p w:rsidR="001B106E" w:rsidRPr="00E77B35" w:rsidRDefault="001B106E" w:rsidP="001B106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змішане резервування.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06E" w:rsidRPr="001B106E" w:rsidRDefault="001B106E" w:rsidP="001B10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B106E">
              <w:rPr>
                <w:rFonts w:ascii="Arial" w:hAnsi="Arial" w:cs="Arial"/>
                <w:b/>
                <w:sz w:val="18"/>
                <w:szCs w:val="18"/>
              </w:rPr>
              <w:t>8. Що в діагностичній таблиці показує наявність двох однакових строчок?</w:t>
            </w:r>
          </w:p>
          <w:p w:rsidR="001B106E" w:rsidRPr="00E77B35" w:rsidRDefault="001B106E" w:rsidP="001B106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Вказує на невизначеність тестів даною системою;</w:t>
            </w:r>
          </w:p>
          <w:p w:rsidR="001B106E" w:rsidRPr="00E77B35" w:rsidRDefault="001B106E" w:rsidP="001B106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Вказує на надлишковість тестів;</w:t>
            </w:r>
          </w:p>
          <w:p w:rsidR="001B106E" w:rsidRPr="00E77B35" w:rsidRDefault="001B106E" w:rsidP="001B106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Вказує на недостатність тестів;</w:t>
            </w:r>
          </w:p>
          <w:p w:rsidR="001B106E" w:rsidRPr="00E77B35" w:rsidRDefault="001B106E" w:rsidP="001B106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Інший варіант.</w:t>
            </w:r>
          </w:p>
          <w:p w:rsidR="001B106E" w:rsidRPr="00E77B35" w:rsidRDefault="001B106E" w:rsidP="001B1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gridSpan w:val="2"/>
          </w:tcPr>
          <w:p w:rsidR="001B106E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06E" w:rsidRPr="001B106E" w:rsidRDefault="001B106E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B106E">
              <w:rPr>
                <w:rFonts w:ascii="Arial" w:hAnsi="Arial" w:cs="Arial"/>
                <w:b/>
                <w:sz w:val="18"/>
                <w:szCs w:val="18"/>
              </w:rPr>
              <w:t>9. Комплекс заходів, що забезпечує скорочення тривалості технічного обслуговування та економічних затрат це</w:t>
            </w:r>
          </w:p>
          <w:p w:rsidR="001B106E" w:rsidRPr="00E77B35" w:rsidRDefault="001B106E" w:rsidP="001B106E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 xml:space="preserve">Контроль технічного стану </w:t>
            </w:r>
            <w:proofErr w:type="spellStart"/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РЕА</w:t>
            </w:r>
            <w:proofErr w:type="spellEnd"/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;</w:t>
            </w:r>
          </w:p>
          <w:p w:rsidR="001B106E" w:rsidRPr="00E77B35" w:rsidRDefault="001B106E" w:rsidP="001B106E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Організація експлуатації;</w:t>
            </w:r>
          </w:p>
          <w:p w:rsidR="001B106E" w:rsidRPr="00E77B35" w:rsidRDefault="001B106E" w:rsidP="001B106E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Організація технічного обслуговування;</w:t>
            </w:r>
          </w:p>
          <w:p w:rsidR="001B106E" w:rsidRPr="00E77B35" w:rsidRDefault="001B106E" w:rsidP="001B106E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Забезпечення ремонтопридатності;</w:t>
            </w:r>
          </w:p>
          <w:p w:rsidR="001B106E" w:rsidRPr="00F360BA" w:rsidRDefault="001B106E" w:rsidP="009344ED">
            <w:pPr>
              <w:rPr>
                <w:rFonts w:ascii="Arial" w:hAnsi="Arial" w:cs="Arial"/>
                <w:sz w:val="18"/>
                <w:szCs w:val="18"/>
              </w:rPr>
            </w:pPr>
          </w:p>
          <w:p w:rsidR="001B106E" w:rsidRPr="001B106E" w:rsidRDefault="001B106E" w:rsidP="009344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B106E">
              <w:rPr>
                <w:rFonts w:ascii="Arial" w:hAnsi="Arial" w:cs="Arial"/>
                <w:b/>
                <w:sz w:val="18"/>
                <w:szCs w:val="18"/>
              </w:rPr>
              <w:t>0. До якої апаратури згідно класифікації за способом використання радіостанції, телевізійні центри, навігаційну апаратуру?</w:t>
            </w:r>
          </w:p>
          <w:p w:rsidR="001B106E" w:rsidRPr="00F360BA" w:rsidRDefault="001B106E" w:rsidP="001B106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360BA">
              <w:rPr>
                <w:rFonts w:ascii="Arial" w:hAnsi="Arial" w:cs="Arial"/>
                <w:sz w:val="18"/>
                <w:szCs w:val="18"/>
              </w:rPr>
              <w:t>Апаратура разової дії;</w:t>
            </w:r>
          </w:p>
          <w:p w:rsidR="001B106E" w:rsidRPr="00F360BA" w:rsidRDefault="001B106E" w:rsidP="001B106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360BA">
              <w:rPr>
                <w:rFonts w:ascii="Arial" w:hAnsi="Arial" w:cs="Arial"/>
                <w:sz w:val="18"/>
                <w:szCs w:val="18"/>
              </w:rPr>
              <w:t>Чергова апаратура.</w:t>
            </w:r>
          </w:p>
          <w:p w:rsidR="001B106E" w:rsidRPr="00F360BA" w:rsidRDefault="001B106E" w:rsidP="001B106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60BA">
              <w:rPr>
                <w:rFonts w:ascii="Arial" w:hAnsi="Arial" w:cs="Arial"/>
                <w:sz w:val="18"/>
                <w:szCs w:val="18"/>
              </w:rPr>
              <w:t>Неперервно</w:t>
            </w:r>
            <w:proofErr w:type="spellEnd"/>
            <w:r w:rsidRPr="00F360BA">
              <w:rPr>
                <w:rFonts w:ascii="Arial" w:hAnsi="Arial" w:cs="Arial"/>
                <w:sz w:val="18"/>
                <w:szCs w:val="18"/>
              </w:rPr>
              <w:t xml:space="preserve"> працююча;</w:t>
            </w:r>
          </w:p>
          <w:p w:rsidR="001B106E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06E" w:rsidRPr="00E77B35" w:rsidRDefault="001B106E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3CB6" w:rsidRDefault="007E3CB6"/>
    <w:p w:rsidR="001B106E" w:rsidRPr="001B106E" w:rsidRDefault="001B106E" w:rsidP="001B106E">
      <w:pPr>
        <w:jc w:val="center"/>
        <w:rPr>
          <w:b/>
          <w:sz w:val="32"/>
          <w:szCs w:val="32"/>
        </w:rPr>
      </w:pPr>
      <w:r w:rsidRPr="001B106E">
        <w:rPr>
          <w:b/>
          <w:sz w:val="32"/>
          <w:szCs w:val="32"/>
        </w:rPr>
        <w:t>Задача</w:t>
      </w:r>
    </w:p>
    <w:p w:rsidR="001B106E" w:rsidRDefault="001B106E"/>
    <w:p w:rsidR="001B106E" w:rsidRDefault="001B106E" w:rsidP="001B106E">
      <w:pPr>
        <w:ind w:firstLine="708"/>
        <w:rPr>
          <w:rFonts w:ascii="Arial" w:hAnsi="Arial" w:cs="Arial"/>
          <w:sz w:val="22"/>
          <w:szCs w:val="22"/>
        </w:rPr>
      </w:pPr>
      <w:r w:rsidRPr="004C366C">
        <w:rPr>
          <w:rFonts w:ascii="Arial" w:hAnsi="Arial" w:cs="Arial"/>
          <w:sz w:val="22"/>
          <w:szCs w:val="22"/>
        </w:rPr>
        <w:t xml:space="preserve">Скласти оптимальну програму пошуку відмови в системі, при умові що відбулася одна відмова. Інтенсивності відмов елементів складають </w:t>
      </w:r>
      <w:r w:rsidRPr="004C366C">
        <w:rPr>
          <w:rFonts w:ascii="Arial" w:hAnsi="Arial" w:cs="Arial"/>
          <w:position w:val="-12"/>
          <w:sz w:val="22"/>
          <w:szCs w:val="22"/>
        </w:rPr>
        <w:object w:dxaOrig="1300" w:dyaOrig="400">
          <v:shape id="_x0000_i1030" type="#_x0000_t75" style="width:65.25pt;height:20.25pt" o:ole="">
            <v:imagedata r:id="rId17" o:title=""/>
          </v:shape>
          <o:OLEObject Type="Embed" ProgID="Equation.3" ShapeID="_x0000_i1030" DrawAspect="Content" ObjectID="_1732560579" r:id="rId18"/>
        </w:object>
      </w:r>
      <w:r w:rsidRPr="004C366C">
        <w:rPr>
          <w:rFonts w:ascii="Arial" w:hAnsi="Arial" w:cs="Arial"/>
          <w:sz w:val="22"/>
          <w:szCs w:val="22"/>
        </w:rPr>
        <w:t xml:space="preserve">, </w:t>
      </w:r>
      <w:r w:rsidRPr="004C366C">
        <w:rPr>
          <w:rFonts w:ascii="Arial" w:hAnsi="Arial" w:cs="Arial"/>
          <w:position w:val="-12"/>
          <w:sz w:val="22"/>
          <w:szCs w:val="22"/>
        </w:rPr>
        <w:object w:dxaOrig="1020" w:dyaOrig="400">
          <v:shape id="_x0000_i1031" type="#_x0000_t75" style="width:51pt;height:20.25pt" o:ole="">
            <v:imagedata r:id="rId19" o:title=""/>
          </v:shape>
          <o:OLEObject Type="Embed" ProgID="Equation.3" ShapeID="_x0000_i1031" DrawAspect="Content" ObjectID="_1732560580" r:id="rId20"/>
        </w:object>
      </w:r>
      <w:r w:rsidRPr="004C366C">
        <w:rPr>
          <w:rFonts w:ascii="Arial" w:hAnsi="Arial" w:cs="Arial"/>
          <w:sz w:val="22"/>
          <w:szCs w:val="22"/>
        </w:rPr>
        <w:t xml:space="preserve">, </w:t>
      </w:r>
      <w:r w:rsidRPr="004C366C">
        <w:rPr>
          <w:rFonts w:ascii="Arial" w:hAnsi="Arial" w:cs="Arial"/>
          <w:position w:val="-12"/>
          <w:sz w:val="22"/>
          <w:szCs w:val="22"/>
        </w:rPr>
        <w:object w:dxaOrig="1300" w:dyaOrig="400">
          <v:shape id="_x0000_i1032" type="#_x0000_t75" style="width:65.25pt;height:20.25pt" o:ole="">
            <v:imagedata r:id="rId21" o:title=""/>
          </v:shape>
          <o:OLEObject Type="Embed" ProgID="Equation.3" ShapeID="_x0000_i1032" DrawAspect="Content" ObjectID="_1732560581" r:id="rId22"/>
        </w:object>
      </w:r>
      <w:r w:rsidRPr="004C366C">
        <w:rPr>
          <w:rFonts w:ascii="Arial" w:hAnsi="Arial" w:cs="Arial"/>
          <w:sz w:val="22"/>
          <w:szCs w:val="22"/>
        </w:rPr>
        <w:t xml:space="preserve">, </w:t>
      </w:r>
      <w:r w:rsidRPr="004C366C">
        <w:rPr>
          <w:rFonts w:ascii="Arial" w:hAnsi="Arial" w:cs="Arial"/>
          <w:position w:val="-12"/>
          <w:sz w:val="22"/>
          <w:szCs w:val="22"/>
        </w:rPr>
        <w:object w:dxaOrig="1660" w:dyaOrig="400">
          <v:shape id="_x0000_i1033" type="#_x0000_t75" style="width:83.25pt;height:20.25pt" o:ole="">
            <v:imagedata r:id="rId23" o:title=""/>
          </v:shape>
          <o:OLEObject Type="Embed" ProgID="Equation.3" ShapeID="_x0000_i1033" DrawAspect="Content" ObjectID="_1732560582" r:id="rId24"/>
        </w:object>
      </w:r>
      <w:r w:rsidRPr="004C366C">
        <w:rPr>
          <w:rFonts w:ascii="Arial" w:hAnsi="Arial" w:cs="Arial"/>
          <w:sz w:val="22"/>
          <w:szCs w:val="22"/>
        </w:rPr>
        <w:t xml:space="preserve">, </w:t>
      </w:r>
      <w:r w:rsidRPr="004C366C">
        <w:rPr>
          <w:rFonts w:ascii="Arial" w:hAnsi="Arial" w:cs="Arial"/>
          <w:position w:val="-12"/>
          <w:sz w:val="22"/>
          <w:szCs w:val="22"/>
        </w:rPr>
        <w:object w:dxaOrig="1640" w:dyaOrig="400">
          <v:shape id="_x0000_i1034" type="#_x0000_t75" style="width:81.75pt;height:20.25pt" o:ole="">
            <v:imagedata r:id="rId25" o:title=""/>
          </v:shape>
          <o:OLEObject Type="Embed" ProgID="Equation.3" ShapeID="_x0000_i1034" DrawAspect="Content" ObjectID="_1732560583" r:id="rId26"/>
        </w:object>
      </w:r>
      <w:r w:rsidRPr="004C366C">
        <w:rPr>
          <w:rFonts w:ascii="Arial" w:hAnsi="Arial" w:cs="Arial"/>
          <w:sz w:val="22"/>
          <w:szCs w:val="22"/>
        </w:rPr>
        <w:t>. Час вимірювань у всіх точках однаковий та складає 3 хв. Відомо, що на вхід першого елементу надходить тестовий сигнал та є можливість зняти реакцію на цей сигнал на виході кожного елементу системи.</w:t>
      </w:r>
    </w:p>
    <w:p w:rsidR="004F5051" w:rsidRDefault="004F5051" w:rsidP="004F5051">
      <w:pPr>
        <w:pStyle w:val="a6"/>
        <w:ind w:lef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Контрольний тест один для всіх елементів у схемі, тільки реакції на виходах елементів різні!</w:t>
      </w:r>
    </w:p>
    <w:p w:rsidR="004F5051" w:rsidRPr="009632CF" w:rsidRDefault="004F5051" w:rsidP="004F5051">
      <w:pPr>
        <w:pStyle w:val="a6"/>
        <w:ind w:left="936"/>
        <w:rPr>
          <w:rFonts w:ascii="Arial" w:hAnsi="Arial" w:cs="Arial"/>
          <w:sz w:val="22"/>
          <w:szCs w:val="22"/>
        </w:rPr>
      </w:pPr>
    </w:p>
    <w:p w:rsidR="004F5051" w:rsidRDefault="004F5051" w:rsidP="001B106E">
      <w:pPr>
        <w:ind w:firstLine="708"/>
      </w:pPr>
    </w:p>
    <w:sectPr w:rsidR="004F5051" w:rsidSect="001B10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B4A"/>
    <w:multiLevelType w:val="hybridMultilevel"/>
    <w:tmpl w:val="B43AC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00E40"/>
    <w:multiLevelType w:val="hybridMultilevel"/>
    <w:tmpl w:val="DF0450BC"/>
    <w:lvl w:ilvl="0" w:tplc="DC486F8A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36069"/>
    <w:multiLevelType w:val="hybridMultilevel"/>
    <w:tmpl w:val="A8C63B4E"/>
    <w:lvl w:ilvl="0" w:tplc="5C188EB0">
      <w:start w:val="1"/>
      <w:numFmt w:val="russianLower"/>
      <w:lvlText w:val="%1)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819F4"/>
    <w:multiLevelType w:val="hybridMultilevel"/>
    <w:tmpl w:val="D5049846"/>
    <w:lvl w:ilvl="0" w:tplc="A3E295C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C3859"/>
    <w:multiLevelType w:val="hybridMultilevel"/>
    <w:tmpl w:val="DF94AAFC"/>
    <w:lvl w:ilvl="0" w:tplc="B604381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31835"/>
    <w:multiLevelType w:val="hybridMultilevel"/>
    <w:tmpl w:val="9738C820"/>
    <w:lvl w:ilvl="0" w:tplc="380A4F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56E6A"/>
    <w:multiLevelType w:val="hybridMultilevel"/>
    <w:tmpl w:val="2F368C68"/>
    <w:lvl w:ilvl="0" w:tplc="380A4F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BC0F6D"/>
    <w:multiLevelType w:val="hybridMultilevel"/>
    <w:tmpl w:val="27CC1EE2"/>
    <w:lvl w:ilvl="0" w:tplc="CD9C6C44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3E295C0">
      <w:start w:val="1"/>
      <w:numFmt w:val="russianLower"/>
      <w:lvlText w:val="%2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BC55828"/>
    <w:multiLevelType w:val="hybridMultilevel"/>
    <w:tmpl w:val="2B6E6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C5E81"/>
    <w:multiLevelType w:val="hybridMultilevel"/>
    <w:tmpl w:val="45E86BDA"/>
    <w:lvl w:ilvl="0" w:tplc="8C12F8CE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140B41"/>
    <w:multiLevelType w:val="hybridMultilevel"/>
    <w:tmpl w:val="F232EE48"/>
    <w:lvl w:ilvl="0" w:tplc="380A4F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A544C">
      <w:start w:val="1"/>
      <w:numFmt w:val="russianLow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06E"/>
    <w:rsid w:val="001B106E"/>
    <w:rsid w:val="00393DFF"/>
    <w:rsid w:val="003A7372"/>
    <w:rsid w:val="004F5051"/>
    <w:rsid w:val="007E3CB6"/>
    <w:rsid w:val="00C54AAB"/>
    <w:rsid w:val="00F3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0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4F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2022-12-14T18:26:00Z</dcterms:created>
  <dcterms:modified xsi:type="dcterms:W3CDTF">2022-12-14T19:34:00Z</dcterms:modified>
</cp:coreProperties>
</file>