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4" w:rsidRDefault="00B076D4" w:rsidP="00B076D4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Практичн</w:t>
      </w:r>
      <w:r w:rsidR="00D6172F">
        <w:rPr>
          <w:b/>
          <w:i/>
          <w:noProof/>
          <w:sz w:val="28"/>
          <w:szCs w:val="28"/>
          <w:lang w:val="uk-UA"/>
        </w:rPr>
        <w:t>е</w:t>
      </w:r>
      <w:r w:rsidRPr="00953BAF">
        <w:rPr>
          <w:b/>
          <w:i/>
          <w:noProof/>
          <w:sz w:val="28"/>
          <w:szCs w:val="28"/>
          <w:lang w:val="uk-UA"/>
        </w:rPr>
        <w:t xml:space="preserve"> завдання </w:t>
      </w:r>
      <w:r w:rsidR="00D6172F">
        <w:rPr>
          <w:b/>
          <w:i/>
          <w:noProof/>
          <w:sz w:val="28"/>
          <w:szCs w:val="28"/>
          <w:lang w:val="uk-UA"/>
        </w:rPr>
        <w:t>1</w:t>
      </w:r>
      <w:r w:rsidR="00752EAA">
        <w:rPr>
          <w:b/>
          <w:i/>
          <w:noProof/>
          <w:sz w:val="28"/>
          <w:szCs w:val="28"/>
          <w:lang w:val="uk-UA"/>
        </w:rPr>
        <w:t>5</w:t>
      </w:r>
    </w:p>
    <w:p w:rsidR="00D6172F" w:rsidRPr="00E909E9" w:rsidRDefault="00D6172F" w:rsidP="00D6172F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r w:rsidRPr="00E2010B">
        <w:rPr>
          <w:b/>
          <w:sz w:val="28"/>
          <w:szCs w:val="28"/>
          <w:lang w:val="uk-UA"/>
        </w:rPr>
        <w:t>Ас</w:t>
      </w:r>
      <w:r>
        <w:rPr>
          <w:b/>
          <w:sz w:val="28"/>
          <w:szCs w:val="28"/>
          <w:lang w:val="uk-UA"/>
        </w:rPr>
        <w:t xml:space="preserve">ортимент та призначення посуду </w:t>
      </w:r>
      <w:r w:rsidRPr="00E2010B">
        <w:rPr>
          <w:b/>
          <w:sz w:val="28"/>
          <w:szCs w:val="28"/>
          <w:lang w:val="uk-UA"/>
        </w:rPr>
        <w:t>бармена</w:t>
      </w:r>
      <w:r w:rsidR="00396D2C">
        <w:rPr>
          <w:b/>
          <w:sz w:val="28"/>
          <w:szCs w:val="28"/>
          <w:lang w:val="uk-UA"/>
        </w:rPr>
        <w:t xml:space="preserve"> для подачі напоїв та іншої продукції, що подається в барі на стіл</w:t>
      </w:r>
    </w:p>
    <w:p w:rsidR="00D6172F" w:rsidRPr="008E1267" w:rsidRDefault="00D6172F" w:rsidP="00D6172F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розрізняти асортимент та призначення скляного</w:t>
      </w:r>
      <w:r w:rsidR="00396D2C">
        <w:rPr>
          <w:sz w:val="28"/>
          <w:szCs w:val="28"/>
          <w:lang w:val="uk-UA"/>
        </w:rPr>
        <w:t>, порцелянового, металевого</w:t>
      </w:r>
      <w:r>
        <w:rPr>
          <w:sz w:val="28"/>
          <w:szCs w:val="28"/>
          <w:lang w:val="uk-UA"/>
        </w:rPr>
        <w:t xml:space="preserve"> посуду</w:t>
      </w:r>
      <w:r w:rsidRPr="008E1267">
        <w:rPr>
          <w:sz w:val="28"/>
          <w:szCs w:val="28"/>
          <w:lang w:val="uk-UA"/>
        </w:rPr>
        <w:t xml:space="preserve">. </w:t>
      </w:r>
    </w:p>
    <w:p w:rsidR="00B076D4" w:rsidRPr="00953BAF" w:rsidRDefault="00B076D4" w:rsidP="00B076D4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</w:p>
    <w:p w:rsidR="00B076D4" w:rsidRPr="00953BAF" w:rsidRDefault="00B076D4" w:rsidP="00B076D4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742F6E" w:rsidRPr="00953BAF" w:rsidRDefault="00742F6E" w:rsidP="00742F6E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Визначення нормативної кількості</w:t>
      </w:r>
      <w:r w:rsidRPr="00953BAF">
        <w:rPr>
          <w:rFonts w:eastAsia="Calibri"/>
          <w:sz w:val="28"/>
          <w:szCs w:val="24"/>
        </w:rPr>
        <w:t xml:space="preserve"> посуду</w:t>
      </w:r>
      <w:r>
        <w:rPr>
          <w:rFonts w:eastAsia="Calibri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д</w:t>
      </w:r>
      <w:r>
        <w:rPr>
          <w:rFonts w:eastAsia="Calibri"/>
          <w:sz w:val="28"/>
          <w:szCs w:val="24"/>
        </w:rPr>
        <w:t>ля ЗРГ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різних типів</w:t>
      </w:r>
      <w:r w:rsidRPr="00953BAF">
        <w:rPr>
          <w:rFonts w:eastAsia="Calibri"/>
          <w:sz w:val="28"/>
          <w:szCs w:val="24"/>
        </w:rPr>
        <w:t>.</w:t>
      </w:r>
    </w:p>
    <w:p w:rsidR="00B076D4" w:rsidRPr="00953BAF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>Знайомство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із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класифікацією </w:t>
      </w:r>
      <w:r w:rsidRPr="00953BAF">
        <w:rPr>
          <w:rFonts w:eastAsia="Calibri"/>
          <w:sz w:val="28"/>
          <w:szCs w:val="24"/>
        </w:rPr>
        <w:t>та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характеристикою</w:t>
      </w:r>
      <w:r w:rsidRPr="00953BAF">
        <w:rPr>
          <w:rFonts w:eastAsia="Calibri"/>
          <w:spacing w:val="-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скляного посуду</w:t>
      </w:r>
      <w:r w:rsidR="00EC1ED9">
        <w:rPr>
          <w:rFonts w:eastAsia="Calibri"/>
          <w:sz w:val="28"/>
          <w:szCs w:val="24"/>
        </w:rPr>
        <w:t xml:space="preserve"> </w:t>
      </w:r>
      <w:r w:rsidR="00742F6E">
        <w:rPr>
          <w:sz w:val="28"/>
          <w:szCs w:val="28"/>
        </w:rPr>
        <w:t>для подачі напоїв та іншої продукції, що подається в барі на стіл</w:t>
      </w:r>
      <w:r w:rsidRPr="00953BAF">
        <w:rPr>
          <w:rFonts w:eastAsia="Calibri"/>
          <w:sz w:val="28"/>
          <w:szCs w:val="24"/>
        </w:rPr>
        <w:t>.</w:t>
      </w:r>
    </w:p>
    <w:p w:rsidR="00B076D4" w:rsidRPr="00953BAF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>Знайомство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із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класифікацією </w:t>
      </w:r>
      <w:r w:rsidRPr="00953BAF">
        <w:rPr>
          <w:rFonts w:eastAsia="Calibri"/>
          <w:sz w:val="28"/>
          <w:szCs w:val="24"/>
        </w:rPr>
        <w:t>та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характеристикою</w:t>
      </w:r>
      <w:r w:rsidRPr="00953BAF">
        <w:rPr>
          <w:rFonts w:eastAsia="Calibri"/>
          <w:spacing w:val="-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скляного, порцелянового, металевого посуду для подавання страв у барі</w:t>
      </w:r>
      <w:r w:rsidRPr="00953BAF">
        <w:rPr>
          <w:rFonts w:eastAsia="Calibri"/>
          <w:sz w:val="28"/>
          <w:szCs w:val="24"/>
        </w:rPr>
        <w:t>.</w:t>
      </w:r>
    </w:p>
    <w:p w:rsidR="00B076D4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>
        <w:rPr>
          <w:rFonts w:eastAsia="Calibri"/>
          <w:sz w:val="28"/>
          <w:szCs w:val="24"/>
        </w:rPr>
        <w:t xml:space="preserve">скляного порцелянового, металевого </w:t>
      </w:r>
      <w:r w:rsidRPr="00953BAF">
        <w:rPr>
          <w:rFonts w:eastAsia="Calibri"/>
          <w:sz w:val="28"/>
          <w:szCs w:val="24"/>
        </w:rPr>
        <w:t>посуду</w:t>
      </w:r>
      <w:r>
        <w:rPr>
          <w:rFonts w:eastAsia="Calibri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</w:t>
      </w:r>
      <w:r>
        <w:rPr>
          <w:rFonts w:eastAsia="Calibri"/>
          <w:sz w:val="28"/>
          <w:szCs w:val="24"/>
        </w:rPr>
        <w:t xml:space="preserve"> стравами</w:t>
      </w:r>
      <w:r w:rsidRPr="00953BAF">
        <w:rPr>
          <w:rFonts w:eastAsia="Calibri"/>
          <w:sz w:val="28"/>
          <w:szCs w:val="24"/>
        </w:rPr>
        <w:t>.</w:t>
      </w:r>
    </w:p>
    <w:p w:rsidR="00D6172F" w:rsidRDefault="00D6172F" w:rsidP="00D6172F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</w:p>
    <w:p w:rsidR="00D6172F" w:rsidRPr="00D6172F" w:rsidRDefault="00D6172F" w:rsidP="00D6172F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D6172F">
        <w:rPr>
          <w:b/>
          <w:noProof/>
          <w:sz w:val="28"/>
          <w:szCs w:val="28"/>
          <w:lang w:val="uk-UA"/>
        </w:rPr>
        <w:t>Хід роботи</w:t>
      </w:r>
    </w:p>
    <w:p w:rsidR="00D6172F" w:rsidRPr="00D6172F" w:rsidRDefault="00D6172F" w:rsidP="00D6172F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r w:rsidRPr="00D6172F">
        <w:rPr>
          <w:rFonts w:eastAsia="Calibri"/>
          <w:sz w:val="28"/>
          <w:szCs w:val="24"/>
          <w:lang w:val="uk-UA"/>
        </w:rPr>
        <w:t xml:space="preserve">Необхідно проаналізувати </w:t>
      </w:r>
      <w:r>
        <w:rPr>
          <w:rFonts w:eastAsia="Calibri"/>
          <w:sz w:val="28"/>
          <w:szCs w:val="24"/>
          <w:lang w:val="uk-UA"/>
        </w:rPr>
        <w:t>асортимент скляного посуду</w:t>
      </w:r>
      <w:r w:rsidRPr="00D6172F">
        <w:rPr>
          <w:rFonts w:eastAsia="Calibri"/>
          <w:sz w:val="28"/>
          <w:szCs w:val="24"/>
          <w:lang w:val="uk-UA"/>
        </w:rPr>
        <w:t xml:space="preserve"> бару. Визначити призначення</w:t>
      </w:r>
      <w:r>
        <w:rPr>
          <w:rFonts w:eastAsia="Calibri"/>
          <w:sz w:val="28"/>
          <w:szCs w:val="24"/>
          <w:lang w:val="uk-UA"/>
        </w:rPr>
        <w:t xml:space="preserve"> </w:t>
      </w:r>
      <w:proofErr w:type="spellStart"/>
      <w:r>
        <w:rPr>
          <w:rFonts w:eastAsia="Calibri"/>
          <w:sz w:val="28"/>
          <w:szCs w:val="24"/>
        </w:rPr>
        <w:t>скляного</w:t>
      </w:r>
      <w:proofErr w:type="spellEnd"/>
      <w:r>
        <w:rPr>
          <w:rFonts w:eastAsia="Calibri"/>
          <w:sz w:val="28"/>
          <w:szCs w:val="24"/>
        </w:rPr>
        <w:t xml:space="preserve">, </w:t>
      </w:r>
      <w:proofErr w:type="spellStart"/>
      <w:r>
        <w:rPr>
          <w:rFonts w:eastAsia="Calibri"/>
          <w:sz w:val="28"/>
          <w:szCs w:val="24"/>
        </w:rPr>
        <w:t>порцелянового</w:t>
      </w:r>
      <w:proofErr w:type="spellEnd"/>
      <w:r>
        <w:rPr>
          <w:rFonts w:eastAsia="Calibri"/>
          <w:sz w:val="28"/>
          <w:szCs w:val="24"/>
        </w:rPr>
        <w:t xml:space="preserve">, </w:t>
      </w:r>
      <w:proofErr w:type="spellStart"/>
      <w:r>
        <w:rPr>
          <w:rFonts w:eastAsia="Calibri"/>
          <w:sz w:val="28"/>
          <w:szCs w:val="24"/>
        </w:rPr>
        <w:t>металевого</w:t>
      </w:r>
      <w:proofErr w:type="spellEnd"/>
      <w:r>
        <w:rPr>
          <w:rFonts w:eastAsia="Calibri"/>
          <w:sz w:val="28"/>
          <w:szCs w:val="24"/>
        </w:rPr>
        <w:t xml:space="preserve"> посуду для </w:t>
      </w:r>
      <w:proofErr w:type="spellStart"/>
      <w:r>
        <w:rPr>
          <w:rFonts w:eastAsia="Calibri"/>
          <w:sz w:val="28"/>
          <w:szCs w:val="24"/>
        </w:rPr>
        <w:t>подавання</w:t>
      </w:r>
      <w:proofErr w:type="spellEnd"/>
      <w:r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  <w:lang w:val="uk-UA"/>
        </w:rPr>
        <w:t xml:space="preserve">напоїв і </w:t>
      </w:r>
      <w:proofErr w:type="spellStart"/>
      <w:r>
        <w:rPr>
          <w:rFonts w:eastAsia="Calibri"/>
          <w:sz w:val="28"/>
          <w:szCs w:val="24"/>
        </w:rPr>
        <w:t>страв</w:t>
      </w:r>
      <w:proofErr w:type="spellEnd"/>
      <w:r>
        <w:rPr>
          <w:rFonts w:eastAsia="Calibri"/>
          <w:sz w:val="28"/>
          <w:szCs w:val="24"/>
        </w:rPr>
        <w:t xml:space="preserve"> у </w:t>
      </w:r>
      <w:proofErr w:type="spellStart"/>
      <w:r>
        <w:rPr>
          <w:rFonts w:eastAsia="Calibri"/>
          <w:sz w:val="28"/>
          <w:szCs w:val="24"/>
        </w:rPr>
        <w:t>барі</w:t>
      </w:r>
      <w:proofErr w:type="spellEnd"/>
      <w:r w:rsidRPr="00953BAF">
        <w:rPr>
          <w:rFonts w:eastAsia="Calibri"/>
          <w:sz w:val="28"/>
          <w:szCs w:val="24"/>
        </w:rPr>
        <w:t>.</w:t>
      </w:r>
      <w:r w:rsidRPr="00D6172F">
        <w:rPr>
          <w:rFonts w:eastAsia="Calibri"/>
          <w:sz w:val="28"/>
          <w:szCs w:val="24"/>
          <w:lang w:val="uk-UA"/>
        </w:rPr>
        <w:t xml:space="preserve"> </w:t>
      </w:r>
      <w:r w:rsidRPr="00D6172F">
        <w:rPr>
          <w:noProof/>
          <w:sz w:val="28"/>
          <w:szCs w:val="28"/>
          <w:lang w:val="uk-UA"/>
        </w:rPr>
        <w:t>Вивчити призначення і будову обладнання бару.</w:t>
      </w:r>
    </w:p>
    <w:p w:rsidR="00B076D4" w:rsidRDefault="00B076D4" w:rsidP="00B076D4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B076D4" w:rsidRPr="00CD240A" w:rsidRDefault="00B076D4" w:rsidP="00B076D4">
      <w:pPr>
        <w:spacing w:line="276" w:lineRule="auto"/>
        <w:ind w:firstLine="709"/>
        <w:contextualSpacing/>
        <w:rPr>
          <w:sz w:val="28"/>
          <w:szCs w:val="28"/>
          <w:lang w:val="uk-UA"/>
        </w:rPr>
      </w:pPr>
      <w:r w:rsidRPr="00953BAF">
        <w:rPr>
          <w:b/>
          <w:i/>
          <w:sz w:val="28"/>
          <w:szCs w:val="28"/>
          <w:lang w:val="uk-UA"/>
        </w:rPr>
        <w:t xml:space="preserve">Завдання </w:t>
      </w:r>
      <w:r w:rsidR="00EC1ED9">
        <w:rPr>
          <w:b/>
          <w:i/>
          <w:sz w:val="28"/>
          <w:szCs w:val="28"/>
          <w:lang w:val="uk-UA"/>
        </w:rPr>
        <w:t>1</w:t>
      </w:r>
      <w:r w:rsidRPr="00953BAF">
        <w:rPr>
          <w:b/>
          <w:i/>
          <w:sz w:val="28"/>
          <w:szCs w:val="28"/>
          <w:lang w:val="uk-UA"/>
        </w:rPr>
        <w:t>.</w:t>
      </w:r>
      <w:r w:rsidRPr="00953BAF">
        <w:rPr>
          <w:sz w:val="28"/>
          <w:szCs w:val="28"/>
          <w:lang w:val="uk-UA"/>
        </w:rPr>
        <w:t xml:space="preserve"> </w:t>
      </w:r>
      <w:r w:rsidRPr="00CD240A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>менеджер</w:t>
      </w:r>
      <w:r w:rsidRPr="00CD240A">
        <w:rPr>
          <w:sz w:val="28"/>
          <w:szCs w:val="28"/>
          <w:lang w:val="uk-UA"/>
        </w:rPr>
        <w:t xml:space="preserve"> бару «</w:t>
      </w:r>
      <w:proofErr w:type="spellStart"/>
      <w:r w:rsidRPr="00CD240A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вой</w:t>
      </w:r>
      <w:proofErr w:type="spellEnd"/>
      <w:r w:rsidRPr="00CD240A">
        <w:rPr>
          <w:sz w:val="28"/>
          <w:szCs w:val="28"/>
          <w:lang w:val="uk-UA"/>
        </w:rPr>
        <w:t xml:space="preserve">» на </w:t>
      </w:r>
      <w:r w:rsidRPr="007E2AB8">
        <w:rPr>
          <w:b/>
          <w:sz w:val="28"/>
          <w:szCs w:val="28"/>
          <w:lang w:val="uk-UA"/>
        </w:rPr>
        <w:t>75</w:t>
      </w:r>
      <w:r w:rsidRPr="00CD240A">
        <w:rPr>
          <w:sz w:val="28"/>
          <w:szCs w:val="28"/>
          <w:lang w:val="uk-UA"/>
        </w:rPr>
        <w:t xml:space="preserve"> посадкових місць. Асортимент предметів серв</w:t>
      </w:r>
      <w:r>
        <w:rPr>
          <w:sz w:val="28"/>
          <w:szCs w:val="28"/>
          <w:lang w:val="uk-UA"/>
        </w:rPr>
        <w:t>ір</w:t>
      </w:r>
      <w:r w:rsidRPr="00CD240A">
        <w:rPr>
          <w:sz w:val="28"/>
          <w:szCs w:val="28"/>
          <w:lang w:val="uk-UA"/>
        </w:rPr>
        <w:t>ування, що застосовують у барі, потребує розширення. Вам доручено поповнити запас посуду та столових приборів для бару. Необхідно визначити кількість потрібного порцелянового та фаянсового посуду для бару «</w:t>
      </w:r>
      <w:proofErr w:type="spellStart"/>
      <w:r w:rsidRPr="00CD240A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вой</w:t>
      </w:r>
      <w:proofErr w:type="spellEnd"/>
      <w:r w:rsidRPr="00CD240A">
        <w:rPr>
          <w:sz w:val="28"/>
          <w:szCs w:val="28"/>
          <w:lang w:val="uk-UA"/>
        </w:rPr>
        <w:t>» відповідно до норм оснащенн</w:t>
      </w:r>
      <w:r>
        <w:rPr>
          <w:sz w:val="28"/>
          <w:szCs w:val="28"/>
          <w:lang w:val="uk-UA"/>
        </w:rPr>
        <w:t>я закладів ресто</w:t>
      </w:r>
      <w:r w:rsidRPr="00CD240A">
        <w:rPr>
          <w:sz w:val="28"/>
          <w:szCs w:val="28"/>
          <w:lang w:val="uk-UA"/>
        </w:rPr>
        <w:t>ранного господарства. Результати оформити у вигляді таблиці.</w:t>
      </w:r>
    </w:p>
    <w:p w:rsidR="00B076D4" w:rsidRPr="00CD240A" w:rsidRDefault="00B076D4" w:rsidP="00396D2C">
      <w:pPr>
        <w:spacing w:line="276" w:lineRule="auto"/>
        <w:jc w:val="center"/>
        <w:rPr>
          <w:sz w:val="28"/>
          <w:szCs w:val="28"/>
          <w:lang w:val="uk-UA"/>
        </w:rPr>
      </w:pPr>
      <w:r w:rsidRPr="00CD240A">
        <w:rPr>
          <w:rStyle w:val="a4"/>
          <w:sz w:val="28"/>
          <w:szCs w:val="28"/>
        </w:rPr>
        <w:t>Оснащення бару порцеляновим та фаянсовим посудом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93"/>
        <w:gridCol w:w="1701"/>
        <w:gridCol w:w="1276"/>
        <w:gridCol w:w="1559"/>
        <w:gridCol w:w="1418"/>
      </w:tblGrid>
      <w:tr w:rsidR="00B076D4" w:rsidRPr="00CD240A" w:rsidTr="004433E5">
        <w:trPr>
          <w:trHeight w:hRule="exact" w:val="16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  <w:lang w:bidi="ru-RU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Назва</w:t>
            </w:r>
            <w:r w:rsidRPr="0052470F">
              <w:rPr>
                <w:sz w:val="24"/>
                <w:szCs w:val="24"/>
              </w:rPr>
              <w:t xml:space="preserve"> </w:t>
            </w:r>
            <w:r w:rsidRPr="0052470F">
              <w:rPr>
                <w:rStyle w:val="285pt"/>
                <w:rFonts w:eastAsiaTheme="minorHAnsi"/>
                <w:sz w:val="24"/>
                <w:szCs w:val="24"/>
              </w:rPr>
              <w:t>посуду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Основної</w:t>
            </w:r>
            <w:r w:rsidRPr="0052470F">
              <w:rPr>
                <w:sz w:val="24"/>
                <w:szCs w:val="24"/>
              </w:rPr>
              <w:t xml:space="preserve"> </w:t>
            </w:r>
            <w:r w:rsidRPr="0052470F">
              <w:rPr>
                <w:rStyle w:val="285pt"/>
                <w:rFonts w:eastAsiaTheme="minorHAnsi"/>
                <w:sz w:val="24"/>
                <w:szCs w:val="24"/>
              </w:rPr>
              <w:t>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Нормативна кількість посуду на одне місце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Кількість посуду згідно з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нормами оснащен</w:t>
            </w:r>
            <w:r w:rsidRPr="0052470F">
              <w:rPr>
                <w:rStyle w:val="285pt"/>
                <w:rFonts w:eastAsiaTheme="minorHAnsi"/>
                <w:sz w:val="24"/>
                <w:szCs w:val="24"/>
              </w:rPr>
              <w:t>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Фактична кількість посуду в барі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2470F">
              <w:rPr>
                <w:rStyle w:val="285pt"/>
                <w:rFonts w:eastAsiaTheme="minorHAnsi"/>
                <w:sz w:val="24"/>
                <w:szCs w:val="24"/>
              </w:rPr>
              <w:t>Відхилення від норми (кількість)</w:t>
            </w:r>
          </w:p>
        </w:tc>
      </w:tr>
      <w:tr w:rsidR="00B076D4" w:rsidRPr="00CD240A" w:rsidTr="004433E5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Тарілка пиріжкова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7E2AB8" w:rsidP="007E2AB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C2C81" w:rsidP="007E2AB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7E2AB8">
              <w:rPr>
                <w:sz w:val="24"/>
                <w:szCs w:val="24"/>
                <w:lang w:val="uk-UA"/>
              </w:rPr>
              <w:t>75</w:t>
            </w:r>
          </w:p>
        </w:tc>
      </w:tr>
      <w:tr w:rsidR="00B076D4" w:rsidRPr="00CD240A" w:rsidTr="004433E5">
        <w:trPr>
          <w:trHeight w:hRule="exact" w:val="3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Тарілка закусочна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Тарілка десертна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мілка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Салатник 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(на одну-дві порції)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6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Чашка чайна з 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блюдцем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Чашка кавова з 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блюдцем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 xml:space="preserve">Чайник для </w:t>
            </w:r>
          </w:p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заварювання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Кавник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076D4" w:rsidRPr="00CD240A" w:rsidTr="004433E5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Ваза для тістечок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6D4" w:rsidRPr="0052470F" w:rsidRDefault="00B076D4" w:rsidP="004433E5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C2C81" w:rsidRDefault="00BC2C81" w:rsidP="00752EAA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2EAA" w:rsidRPr="00163095" w:rsidRDefault="00752EAA" w:rsidP="00752EAA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9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752EAA" w:rsidRPr="00163095" w:rsidRDefault="00752EAA" w:rsidP="00752EAA">
      <w:pPr>
        <w:pStyle w:val="20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 xml:space="preserve">Перед розв’язанням ситуаційних завдань слід </w:t>
      </w:r>
      <w:r w:rsidR="00F209DE">
        <w:rPr>
          <w:rFonts w:ascii="Times New Roman" w:hAnsi="Times New Roman" w:cs="Times New Roman"/>
          <w:sz w:val="28"/>
          <w:szCs w:val="28"/>
        </w:rPr>
        <w:t xml:space="preserve">ознайомитись з ДСТУ «Правила роботи ЗРГ», </w:t>
      </w:r>
      <w:r w:rsidRPr="00163095">
        <w:rPr>
          <w:rFonts w:ascii="Times New Roman" w:hAnsi="Times New Roman" w:cs="Times New Roman"/>
          <w:sz w:val="28"/>
          <w:szCs w:val="28"/>
        </w:rPr>
        <w:t>вивчити вимоги до оснащення барів.</w:t>
      </w:r>
      <w:r>
        <w:rPr>
          <w:rFonts w:ascii="Times New Roman" w:hAnsi="Times New Roman" w:cs="Times New Roman"/>
          <w:sz w:val="28"/>
          <w:szCs w:val="28"/>
        </w:rPr>
        <w:t xml:space="preserve"> Щоб визначити кількість посуду згідно з нормативним оснащенням потрібно </w:t>
      </w:r>
      <w:r>
        <w:rPr>
          <w:rStyle w:val="285pt"/>
          <w:rFonts w:eastAsiaTheme="minorHAnsi"/>
          <w:b w:val="0"/>
          <w:sz w:val="28"/>
          <w:szCs w:val="28"/>
        </w:rPr>
        <w:t>н</w:t>
      </w:r>
      <w:r w:rsidRPr="007E2AB8">
        <w:rPr>
          <w:rStyle w:val="285pt"/>
          <w:rFonts w:eastAsiaTheme="minorHAnsi"/>
          <w:b w:val="0"/>
          <w:sz w:val="28"/>
          <w:szCs w:val="28"/>
        </w:rPr>
        <w:t>ормативн</w:t>
      </w:r>
      <w:r>
        <w:rPr>
          <w:rStyle w:val="285pt"/>
          <w:rFonts w:eastAsiaTheme="minorHAnsi"/>
          <w:b w:val="0"/>
          <w:sz w:val="28"/>
          <w:szCs w:val="28"/>
        </w:rPr>
        <w:t>у</w:t>
      </w:r>
      <w:r w:rsidRPr="007E2AB8">
        <w:rPr>
          <w:rStyle w:val="285pt"/>
          <w:rFonts w:eastAsiaTheme="minorHAnsi"/>
          <w:b w:val="0"/>
          <w:sz w:val="28"/>
          <w:szCs w:val="28"/>
        </w:rPr>
        <w:t xml:space="preserve"> кількість посуду на одне місце</w:t>
      </w:r>
      <w:r>
        <w:rPr>
          <w:rStyle w:val="285pt"/>
          <w:rFonts w:eastAsiaTheme="minorHAnsi"/>
          <w:b w:val="0"/>
          <w:sz w:val="28"/>
          <w:szCs w:val="28"/>
        </w:rPr>
        <w:t xml:space="preserve"> помножити на кількість місць у барі. Для визначення відхилення від норми потрібно порівняти фактичну кількість з нормами оснащення</w:t>
      </w:r>
      <w:r w:rsidR="00F209DE">
        <w:rPr>
          <w:rStyle w:val="285pt"/>
          <w:rFonts w:eastAsiaTheme="minorHAnsi"/>
          <w:b w:val="0"/>
          <w:sz w:val="28"/>
          <w:szCs w:val="28"/>
        </w:rPr>
        <w:t xml:space="preserve"> і виявити надлишок або нестачу</w:t>
      </w:r>
      <w:r>
        <w:rPr>
          <w:rStyle w:val="285pt"/>
          <w:rFonts w:eastAsiaTheme="minorHAnsi"/>
          <w:b w:val="0"/>
          <w:sz w:val="28"/>
          <w:szCs w:val="28"/>
        </w:rPr>
        <w:t>.</w:t>
      </w:r>
    </w:p>
    <w:p w:rsidR="00B076D4" w:rsidRPr="00953BAF" w:rsidRDefault="00B076D4" w:rsidP="00B076D4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752EAA" w:rsidRPr="0052470F" w:rsidRDefault="00752EAA" w:rsidP="00752EAA">
      <w:pPr>
        <w:pStyle w:val="20"/>
        <w:shd w:val="clear" w:color="auto" w:fill="auto"/>
        <w:tabs>
          <w:tab w:val="left" w:pos="9639"/>
        </w:tabs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</w:t>
      </w:r>
      <w:r w:rsidR="00EC1ED9">
        <w:rPr>
          <w:rFonts w:ascii="Times New Roman" w:hAnsi="Times New Roman" w:cs="Times New Roman"/>
          <w:b/>
          <w:i/>
          <w:noProof/>
          <w:sz w:val="28"/>
          <w:szCs w:val="28"/>
        </w:rPr>
        <w:t>2</w:t>
      </w:r>
      <w:r w:rsidRPr="005247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Додати малюнок в таблицю «Скло для подачі напоїв та іншої продукції, що подається в барі на стіл», згідно описовій частині дотримуючись масштабу </w:t>
      </w:r>
      <w:r w:rsidR="00F209DE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209D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об’єму.</w:t>
      </w:r>
    </w:p>
    <w:p w:rsidR="00752EAA" w:rsidRPr="00A07591" w:rsidRDefault="00752EAA" w:rsidP="00752EAA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992"/>
        <w:gridCol w:w="4218"/>
      </w:tblGrid>
      <w:tr w:rsidR="00752EAA" w:rsidRPr="00A07591" w:rsidTr="002B589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07591">
              <w:rPr>
                <w:b/>
                <w:sz w:val="24"/>
                <w:szCs w:val="24"/>
                <w:lang w:val="uk-UA"/>
              </w:rPr>
              <w:t>Скло для подачі напоїв та іншої продукції, що подається в барі тільки на стіл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Найменування скла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Зонішній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вигляд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Обєм</w:t>
            </w:r>
            <w:proofErr w:type="spellEnd"/>
          </w:p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Призначення і особливості  (якщо колір не вказаний, то тільки безколірне)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Кувшин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250 - 3000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Використовують для подачі води, квасу, соків, морсів та ін.. Має широке горло, носик, ручку і часто кришку.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Графин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100 -500</w:t>
            </w:r>
          </w:p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500 - 2000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подачі на стіл міцних алкогольних напоїв та кріплених вин</w:t>
            </w:r>
            <w:r w:rsidR="00BC2C81">
              <w:rPr>
                <w:sz w:val="24"/>
                <w:szCs w:val="24"/>
                <w:lang w:val="uk-UA"/>
              </w:rPr>
              <w:t>. Мають високе вузьке горлечко</w:t>
            </w:r>
            <w:r w:rsidRPr="00A07591">
              <w:rPr>
                <w:sz w:val="24"/>
                <w:szCs w:val="24"/>
                <w:lang w:val="uk-UA"/>
              </w:rPr>
              <w:t>. Обов’язково з притертою пробкою.  Графини стандартної форми та об’єму (100, 200, 300 і 500мл) іноді в народі називають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мерзавчики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». Використовують лише прозоре скло.</w:t>
            </w:r>
          </w:p>
        </w:tc>
      </w:tr>
      <w:tr w:rsidR="00752EAA" w:rsidRPr="00396D2C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Декантер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1000 - 2000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Декантери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призначені для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декантування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(переливання із пляшки) та відпочинку вина перед його споживанням.</w:t>
            </w:r>
          </w:p>
          <w:p w:rsidR="00752EAA" w:rsidRPr="00A07591" w:rsidRDefault="00752EAA" w:rsidP="00BC2C8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Високий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декантер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, з широким горлечком, служить для біли</w:t>
            </w:r>
            <w:r w:rsidR="00BC2C81">
              <w:rPr>
                <w:sz w:val="24"/>
                <w:szCs w:val="24"/>
                <w:lang w:val="uk-UA"/>
              </w:rPr>
              <w:t>х</w:t>
            </w:r>
            <w:r w:rsidRPr="00A07591">
              <w:rPr>
                <w:sz w:val="24"/>
                <w:szCs w:val="24"/>
                <w:lang w:val="uk-UA"/>
              </w:rPr>
              <w:t xml:space="preserve"> сухих вин. Широке горлечко дозволяє «провітрити» вино ві</w:t>
            </w:r>
            <w:r w:rsidR="00BC2C81">
              <w:rPr>
                <w:sz w:val="24"/>
                <w:szCs w:val="24"/>
                <w:lang w:val="uk-UA"/>
              </w:rPr>
              <w:t>д</w:t>
            </w:r>
            <w:r w:rsidRPr="00A07591">
              <w:rPr>
                <w:sz w:val="24"/>
                <w:szCs w:val="24"/>
                <w:lang w:val="uk-UA"/>
              </w:rPr>
              <w:t xml:space="preserve"> затхлого підвального запаху, котрий властивий  усім білим винам після їх відкупорювання. Вино насичується  киснем  повітря.   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lastRenderedPageBreak/>
              <w:t>Декантер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1000 - 2000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червоних сухих вин використовується більш низький, округлий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декантер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з відносно  вузьким горлечком. Такі вина не потребують великого контакту з повітрям. </w:t>
            </w:r>
          </w:p>
        </w:tc>
      </w:tr>
      <w:tr w:rsidR="00752EAA" w:rsidRPr="00396D2C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lang w:val="uk-UA"/>
              </w:rPr>
            </w:pPr>
            <w:proofErr w:type="spellStart"/>
            <w:r w:rsidRPr="00A07591">
              <w:rPr>
                <w:lang w:val="uk-UA"/>
              </w:rPr>
              <w:t>Крюшонниця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2000 - 5000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BC2C81" w:rsidP="00BC2C8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Призначена для</w:t>
            </w:r>
            <w:r w:rsidR="00752EAA" w:rsidRPr="00A07591">
              <w:rPr>
                <w:sz w:val="24"/>
                <w:szCs w:val="24"/>
                <w:lang w:val="uk-UA"/>
              </w:rPr>
              <w:t xml:space="preserve"> приготування і подачі на стіл крюшонів. Являє собою велику шароподібну ємність. Допускаються різноманітні забарвлення та малюнки. Як правило, це цілий комплект, що складається з </w:t>
            </w:r>
            <w:proofErr w:type="spellStart"/>
            <w:r w:rsidR="00752EAA" w:rsidRPr="00A07591">
              <w:rPr>
                <w:sz w:val="24"/>
                <w:szCs w:val="24"/>
                <w:lang w:val="uk-UA"/>
              </w:rPr>
              <w:t>крюшонниці</w:t>
            </w:r>
            <w:proofErr w:type="spellEnd"/>
            <w:r w:rsidR="00752EAA" w:rsidRPr="00A07591">
              <w:rPr>
                <w:sz w:val="24"/>
                <w:szCs w:val="24"/>
                <w:lang w:val="uk-UA"/>
              </w:rPr>
              <w:t xml:space="preserve"> з кришкою, розливної ложки, яка також буває скляною, підста</w:t>
            </w:r>
            <w:r>
              <w:rPr>
                <w:sz w:val="24"/>
                <w:szCs w:val="24"/>
                <w:lang w:val="uk-UA"/>
              </w:rPr>
              <w:t xml:space="preserve">вки і комплекту  скляних </w:t>
            </w:r>
            <w:proofErr w:type="spellStart"/>
            <w:r>
              <w:rPr>
                <w:sz w:val="24"/>
                <w:szCs w:val="24"/>
                <w:lang w:val="uk-UA"/>
              </w:rPr>
              <w:t>крюшон</w:t>
            </w:r>
            <w:r w:rsidR="00752EAA" w:rsidRPr="00A07591">
              <w:rPr>
                <w:sz w:val="24"/>
                <w:szCs w:val="24"/>
                <w:lang w:val="uk-UA"/>
              </w:rPr>
              <w:t>них</w:t>
            </w:r>
            <w:proofErr w:type="spellEnd"/>
            <w:r w:rsidR="00752EAA" w:rsidRPr="00A07591">
              <w:rPr>
                <w:sz w:val="24"/>
                <w:szCs w:val="24"/>
                <w:lang w:val="uk-UA"/>
              </w:rPr>
              <w:t xml:space="preserve"> чашок з блюдцями. Бувають виготовлені з кришталю, вони служать прикрасою будь – якого святкового столу. 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Креманка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100 - 500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десертних страв, фруктових салатів, коктейлів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07591">
              <w:rPr>
                <w:sz w:val="24"/>
                <w:szCs w:val="24"/>
                <w:lang w:val="uk-UA"/>
              </w:rPr>
              <w:t>салатів та деяких коктейлів, які зручніше їсти ложкою.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Розетки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подачі варення, меду, цукру та невеликої кількості  гарніру до коктейлів.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Вазочки для квітів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Форма, колір, розміри – найрізноманітніші</w:t>
            </w:r>
            <w:r w:rsidR="00BC2C81">
              <w:rPr>
                <w:sz w:val="24"/>
                <w:szCs w:val="24"/>
                <w:lang w:val="uk-UA"/>
              </w:rPr>
              <w:t>.</w:t>
            </w:r>
          </w:p>
        </w:tc>
      </w:tr>
      <w:tr w:rsidR="00752EAA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Комплект для спецій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A" w:rsidRPr="00A07591" w:rsidRDefault="00752EAA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Форма, колір, розміри – найрізноманітніші</w:t>
            </w:r>
          </w:p>
        </w:tc>
      </w:tr>
    </w:tbl>
    <w:p w:rsidR="00752EAA" w:rsidRDefault="00752EAA" w:rsidP="00752EAA">
      <w:pPr>
        <w:jc w:val="center"/>
        <w:rPr>
          <w:sz w:val="28"/>
          <w:szCs w:val="28"/>
          <w:lang w:val="uk-UA"/>
        </w:rPr>
      </w:pPr>
    </w:p>
    <w:p w:rsidR="00752EAA" w:rsidRDefault="00752EAA" w:rsidP="00752EAA"/>
    <w:p w:rsidR="00B076D4" w:rsidRDefault="00B076D4" w:rsidP="00B076D4">
      <w:pPr>
        <w:spacing w:line="240" w:lineRule="auto"/>
        <w:ind w:firstLine="709"/>
        <w:contextualSpacing/>
        <w:rPr>
          <w:b/>
          <w:i/>
          <w:sz w:val="28"/>
          <w:szCs w:val="28"/>
          <w:lang w:val="uk-UA"/>
        </w:rPr>
      </w:pPr>
    </w:p>
    <w:p w:rsidR="00565E6F" w:rsidRDefault="00396D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>
            <v:imagedata r:id="rId6" o:title=""/>
          </v:shape>
        </w:pict>
      </w:r>
    </w:p>
    <w:sectPr w:rsidR="0056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AB"/>
    <w:multiLevelType w:val="hybridMultilevel"/>
    <w:tmpl w:val="9FE82EEC"/>
    <w:lvl w:ilvl="0" w:tplc="0DEC8FC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D09DA"/>
    <w:multiLevelType w:val="hybridMultilevel"/>
    <w:tmpl w:val="07B28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43"/>
    <w:multiLevelType w:val="multilevel"/>
    <w:tmpl w:val="432EC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F5"/>
    <w:rsid w:val="0025159D"/>
    <w:rsid w:val="00396D2C"/>
    <w:rsid w:val="00565E6F"/>
    <w:rsid w:val="00742F6E"/>
    <w:rsid w:val="00752EAA"/>
    <w:rsid w:val="007E2AB8"/>
    <w:rsid w:val="00B076D4"/>
    <w:rsid w:val="00BB6383"/>
    <w:rsid w:val="00BC2C81"/>
    <w:rsid w:val="00C111A2"/>
    <w:rsid w:val="00D3668D"/>
    <w:rsid w:val="00D6172F"/>
    <w:rsid w:val="00DF5EF5"/>
    <w:rsid w:val="00E674BB"/>
    <w:rsid w:val="00EC1ED9"/>
    <w:rsid w:val="00F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76D4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B076D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B076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D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B076D4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76D4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B07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D6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6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76D4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B076D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B076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D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B076D4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76D4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B07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D6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6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10</cp:revision>
  <dcterms:created xsi:type="dcterms:W3CDTF">2023-12-05T20:47:00Z</dcterms:created>
  <dcterms:modified xsi:type="dcterms:W3CDTF">2023-12-13T19:04:00Z</dcterms:modified>
</cp:coreProperties>
</file>