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29" w:rsidRDefault="00593F29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Характеристика окремих видів  фінансових інструментів</w:t>
      </w:r>
    </w:p>
    <w:p w:rsidR="00593F29" w:rsidRDefault="00593F29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Акція </w:t>
      </w:r>
      <w:r>
        <w:rPr>
          <w:color w:val="000000"/>
          <w:sz w:val="28"/>
          <w:szCs w:val="28"/>
        </w:rPr>
        <w:t xml:space="preserve"> -  іменний  цінний  папір,  який  посвідчує майнові  права  його  власника  (акціонера),  що стосуються  акціонерного  товариства  (АТ), включаючи  право  на  отримання  частини  прибутку АТ  у  вигляді  дивідендів  та  право  на  отримання частини  майна</w:t>
      </w:r>
      <w:r>
        <w:rPr>
          <w:color w:val="000000"/>
          <w:sz w:val="28"/>
          <w:szCs w:val="28"/>
        </w:rPr>
        <w:t xml:space="preserve">  товариства  у  разі  його  ліквідації, право на управління АТ, а також немайнові права.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Акція – це цінний папір без установленого терміну обігу.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Доход,  що  одержує акціонер на акції, називається дивідендом. Розмір дивіденду залежить від обсягу прибутку,</w:t>
      </w:r>
      <w:r>
        <w:rPr>
          <w:color w:val="000000"/>
          <w:sz w:val="28"/>
          <w:szCs w:val="28"/>
        </w:rPr>
        <w:t xml:space="preserve"> співвідношенням між його нагромаджуваною та споживчою частинами, інвестиційної політики акціонерного товариства, виду та кількості акцій та інших факторів.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дивідендів, власники акцій можуть одержати доход (у вигляді курсової різниці), якщо вони прода</w:t>
      </w:r>
      <w:r>
        <w:rPr>
          <w:color w:val="000000"/>
          <w:sz w:val="28"/>
          <w:szCs w:val="28"/>
        </w:rPr>
        <w:t xml:space="preserve">дуть акції дорожче, ніж їх купили.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Залежно  від  порядку  виплати  дивідендів  і  права  участі  в управлінні  корпорацією акції  поділяються  на  прості  (звичайні) та привілейовані.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Проста  акція</w:t>
      </w:r>
      <w:r>
        <w:rPr>
          <w:color w:val="000000"/>
          <w:sz w:val="28"/>
          <w:szCs w:val="28"/>
        </w:rPr>
        <w:t xml:space="preserve">  дає  право  власнику,  як  правило,  на  один голос  на </w:t>
      </w:r>
      <w:r>
        <w:rPr>
          <w:color w:val="000000"/>
          <w:sz w:val="28"/>
          <w:szCs w:val="28"/>
        </w:rPr>
        <w:t xml:space="preserve"> зборах  акціонерів.  Дивіденд  за  звичайними  акціями залежить  від  результатів  діяльності  акціонерного  товариства  і нараховується  за  рішенням  зборів  акціонерів  (проміжні дивіденди можуть нараховуватися за рішенням ради директорів АТ). Дивіденд</w:t>
      </w:r>
      <w:r>
        <w:rPr>
          <w:color w:val="000000"/>
          <w:sz w:val="28"/>
          <w:szCs w:val="28"/>
        </w:rPr>
        <w:t xml:space="preserve"> за звичайними акціями може не виплачуватися у разі  отримання  АТ  збитків  або  за  рішенням  зборів  акціонерів направлення  отриманих  прибутків  на  розширення  діяльності такого  АТ.  Доход  у  вигляді  дивідендів  за  простою  акцією виплачується  в</w:t>
      </w:r>
      <w:r>
        <w:rPr>
          <w:color w:val="000000"/>
          <w:sz w:val="28"/>
          <w:szCs w:val="28"/>
        </w:rPr>
        <w:t xml:space="preserve">  останню чергу,  тобто  після  виплати  дивідендів за привілейованими акціями.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Привілейовані  акції  надають  їх  власникам  певні  переваги порівняно з власниками простих акцій. Так, за привілейованими акціями встановлюється фіксований дивіденд, який не </w:t>
      </w:r>
      <w:r>
        <w:rPr>
          <w:color w:val="000000"/>
          <w:sz w:val="28"/>
          <w:szCs w:val="28"/>
        </w:rPr>
        <w:t>залежить від  розміру  прибутку  АТ  та  виплачується  раніше,  ніж  його визначають  для  власника  простих  акцій.  Фіксований  дивіденд виражається  або  у  відсотках  від  номінальної  вартості,  або  в грошах з розрахунку на одну акцію.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Привілейовані </w:t>
      </w:r>
      <w:r>
        <w:rPr>
          <w:color w:val="000000"/>
          <w:sz w:val="28"/>
          <w:szCs w:val="28"/>
        </w:rPr>
        <w:t xml:space="preserve"> акції  дають  власнику  переважне  право  на одержання  частини  майна  товариства  у  разі  його  ліквідації,  а також повернення власнику номінальної вартості акцій за його вимогою.  Частка  привілейованих  акцій  у  статутному  капіталі АТ не може пере</w:t>
      </w:r>
      <w:r>
        <w:rPr>
          <w:color w:val="000000"/>
          <w:sz w:val="28"/>
          <w:szCs w:val="28"/>
        </w:rPr>
        <w:t>вищувати 25 %.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Основною  характеристикою  акції  є  її  курсова  вартість (курс акції) – величина, що показує, у скільки разів поточна ціна акції (ціна, за якою її можна придбати у певний час на ринку) вища від номіналу1.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акції (ринкова вартість) зал</w:t>
      </w:r>
      <w:r>
        <w:rPr>
          <w:color w:val="000000"/>
          <w:sz w:val="28"/>
          <w:szCs w:val="28"/>
        </w:rPr>
        <w:t xml:space="preserve">ежить від низки факторів: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річного дивіденду, який вона приносить;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рівня позичкового процента;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співвідношення між пропозицією та попитом на них на фінансовому ринку.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Облігація </w:t>
      </w:r>
      <w:r>
        <w:rPr>
          <w:color w:val="000000"/>
          <w:sz w:val="28"/>
          <w:szCs w:val="28"/>
        </w:rPr>
        <w:t>– цінний папір, що посвідчує внесення його першим власником грошей,</w:t>
      </w:r>
      <w:r>
        <w:rPr>
          <w:color w:val="000000"/>
          <w:sz w:val="28"/>
          <w:szCs w:val="28"/>
        </w:rPr>
        <w:t xml:space="preserve"> визначає відносини позики  між  власником  облігації  та  емітентом  і </w:t>
      </w:r>
      <w:r>
        <w:rPr>
          <w:color w:val="000000"/>
          <w:sz w:val="28"/>
          <w:szCs w:val="28"/>
        </w:rPr>
        <w:lastRenderedPageBreak/>
        <w:t xml:space="preserve">підтверджує  зобов'язання  емітента  повернути власникові  облігації  її  номінальну  вартість  у передбачений  проспектом  емісії  (для  державних облігацій  України  –  умовами  їх  </w:t>
      </w:r>
      <w:r>
        <w:rPr>
          <w:color w:val="000000"/>
          <w:sz w:val="28"/>
          <w:szCs w:val="28"/>
        </w:rPr>
        <w:t>розміщення)  строк та виплатити доход за нею.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відміну від акцій облігації після закінчення визначеного строку підлягають викупу, до того ж, емітент повинен сплатити номінальну  вартість  облігацій  і  доход  у  вигляді  відсотка.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 облігацій  характ</w:t>
      </w:r>
      <w:r>
        <w:rPr>
          <w:color w:val="000000"/>
          <w:sz w:val="28"/>
          <w:szCs w:val="28"/>
        </w:rPr>
        <w:t xml:space="preserve">ерні  такі елементи: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номінальна вартість;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дата погашення;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 купонна  ставка  –  це обумовлений  відсоток  від  номінальної  вартості,  що  сплачується емітентом власнику облігації;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 договір  емісії  –  контракт  на  публічний  випуск обліга</w:t>
      </w:r>
      <w:r>
        <w:rPr>
          <w:color w:val="000000"/>
          <w:sz w:val="28"/>
          <w:szCs w:val="28"/>
        </w:rPr>
        <w:t xml:space="preserve">ційної  позики.  У  договорі  обов’язково  обумовлюються: мінімальний  поріг  ліквідності  цих  цінних  паперів;  граничний рівень  заборгованості;  обмеження  величини  сплачуваних відсотків;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 забезпечення  облігацій.  Забезпеченням  є  всі  активи (м</w:t>
      </w:r>
      <w:r>
        <w:rPr>
          <w:color w:val="000000"/>
          <w:sz w:val="28"/>
          <w:szCs w:val="28"/>
        </w:rPr>
        <w:t>айно)  підприємства,  що  служить  заставою  при  випуску облігацій;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Таблиця. Переваги та недоліки облігацій</w:t>
      </w:r>
    </w:p>
    <w:tbl>
      <w:tblPr>
        <w:tblStyle w:val="a5"/>
        <w:tblW w:w="98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324"/>
      </w:tblGrid>
      <w:tr w:rsidR="00593F29">
        <w:tc>
          <w:tcPr>
            <w:tcW w:w="5508" w:type="dxa"/>
          </w:tcPr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Переваги</w:t>
            </w:r>
          </w:p>
        </w:tc>
        <w:tc>
          <w:tcPr>
            <w:tcW w:w="4324" w:type="dxa"/>
          </w:tcPr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Недоліки</w:t>
            </w:r>
          </w:p>
        </w:tc>
      </w:tr>
      <w:tr w:rsidR="00593F29">
        <w:tc>
          <w:tcPr>
            <w:tcW w:w="5508" w:type="dxa"/>
          </w:tcPr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Одержання коштів не призводить до зміни власника  підприємства (не змінюється структура  статутного  капіталу, як це може бути при емісії акцій).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Залучаються більш дешеві  кредитні ресурси  порівняно з банківським  кредитом (процент за облігаціями м</w:t>
            </w:r>
            <w:r>
              <w:rPr>
                <w:color w:val="000000"/>
                <w:sz w:val="24"/>
                <w:szCs w:val="24"/>
              </w:rPr>
              <w:t xml:space="preserve">оже бути менший, ніж кредитна ставка банку).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Залучати кошти можна без виникнення зобов’язань щодо ліквідної застави та часткового  контролю з боку банку за фінансово-господарською діяльністю.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Інвестор законодавчо має змогу прокредитувати  підприємс</w:t>
            </w:r>
            <w:r>
              <w:rPr>
                <w:color w:val="000000"/>
                <w:sz w:val="24"/>
                <w:szCs w:val="24"/>
              </w:rPr>
              <w:t xml:space="preserve">тво (емітента облігацій) вигідніше  та  дешевше, ніж фінансовий посередник-банк.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Виплати процента за  облігаціями  можна відносити до витрат підприємства.</w:t>
            </w:r>
          </w:p>
        </w:tc>
        <w:tc>
          <w:tcPr>
            <w:tcW w:w="4324" w:type="dxa"/>
          </w:tcPr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Необхідність повернення боргу за облігаціями, на відміну від коштів, які залучені при емісії а</w:t>
            </w:r>
            <w:r>
              <w:rPr>
                <w:color w:val="000000"/>
                <w:sz w:val="24"/>
                <w:szCs w:val="24"/>
              </w:rPr>
              <w:t xml:space="preserve">кцій.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Наявність великої кількості кредиторів, з якими  буде складніше  домовитися при виникненні  труднощів  з погашенням  боргу,  ніж  з одним кредитором-банком.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Наявність грошових коштів на дату виплати процентів за облігаціями  незалежно  від до</w:t>
            </w:r>
            <w:r>
              <w:rPr>
                <w:color w:val="000000"/>
                <w:sz w:val="24"/>
                <w:szCs w:val="24"/>
              </w:rPr>
              <w:t xml:space="preserve">ходу позичальника. </w:t>
            </w:r>
          </w:p>
          <w:p w:rsidR="00593F29" w:rsidRDefault="0098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Наявність витрат (у деяких випадках  –  значних) на розміщення  та  обслуговування позики.</w:t>
            </w:r>
          </w:p>
        </w:tc>
      </w:tr>
    </w:tbl>
    <w:p w:rsidR="00593F29" w:rsidRDefault="00593F29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Найбільш важливим для економіки країни видом облігацій є державна  облігаційна  позика  або,  іншими  словами,  державні облігації.  Основною  метою  випуску  державних  облігацій  є фінансування  потреб  бюджету,  збільшення  надходження іноземної валюти </w:t>
      </w:r>
      <w:r>
        <w:rPr>
          <w:color w:val="000000"/>
          <w:sz w:val="28"/>
          <w:szCs w:val="28"/>
        </w:rPr>
        <w:t xml:space="preserve">і приведення в дію механізму стримувального впливу на інфляцію. </w:t>
      </w:r>
      <w:r>
        <w:rPr>
          <w:color w:val="000000"/>
          <w:sz w:val="28"/>
          <w:szCs w:val="28"/>
        </w:rPr>
        <w:br/>
        <w:t xml:space="preserve">рівнянні з акціями інших країн.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Казначейське зобов’язання</w:t>
      </w:r>
      <w:r>
        <w:rPr>
          <w:color w:val="000000"/>
          <w:sz w:val="28"/>
          <w:szCs w:val="28"/>
        </w:rPr>
        <w:t xml:space="preserve"> – державний цінний папір, що розміщується виключно на добровільних засадах серед фізичних осіб, посвідчує факт заборгованості Державного бюджету країни перед  власником  казначейського  </w:t>
      </w:r>
      <w:r>
        <w:rPr>
          <w:color w:val="000000"/>
          <w:sz w:val="28"/>
          <w:szCs w:val="28"/>
        </w:rPr>
        <w:lastRenderedPageBreak/>
        <w:t xml:space="preserve">зобов’язання,  дає  власнику право  на  отримання  грошового  доходу </w:t>
      </w:r>
      <w:r>
        <w:rPr>
          <w:color w:val="000000"/>
          <w:sz w:val="28"/>
          <w:szCs w:val="28"/>
        </w:rPr>
        <w:t xml:space="preserve"> та  погашається відповідно до умов розміщення.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Інвестиційний  сертифікат</w:t>
      </w:r>
      <w:r>
        <w:rPr>
          <w:color w:val="000000"/>
          <w:sz w:val="28"/>
          <w:szCs w:val="28"/>
        </w:rPr>
        <w:t xml:space="preserve">  –  цінний  папір,  який розміщується інвестиційним фондом, інвестиційною компанією, компанією  з  управління  активами  пайового  інвестиційного фонду  та  посвідчує  право  власн</w:t>
      </w:r>
      <w:r>
        <w:rPr>
          <w:color w:val="000000"/>
          <w:sz w:val="28"/>
          <w:szCs w:val="28"/>
        </w:rPr>
        <w:t xml:space="preserve">ості  інвестора  на  частку  в інвестиційному фонді, взаємному фонді інвестиційної компанії та пайовому інвестиційному фонді.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Ощадний (депозитний) сертифікат – цінний папір, який підтверджує  суму  вкладу,  внесеного  у  банк, і  права  вкладника (власни</w:t>
      </w:r>
      <w:r>
        <w:rPr>
          <w:color w:val="000000"/>
          <w:sz w:val="28"/>
          <w:szCs w:val="28"/>
        </w:rPr>
        <w:t xml:space="preserve">ка сертифіката) на одержання суми вкладу та процентів, встановлених сертифікатом у банку, який його видав.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Ощадний  (депозитний)  сертифікат  є  неемісійним  цінним папером,  що  видається  на  певний  строк  (під  відсотки, передбачені  умовами  його  в</w:t>
      </w:r>
      <w:r>
        <w:rPr>
          <w:color w:val="000000"/>
          <w:sz w:val="28"/>
          <w:szCs w:val="28"/>
        </w:rPr>
        <w:t>идачі).  Ощадні  (депозитні) сертифікати  можуть  бути  іменними  або  на  пред’явника  та існують виключно у документарній формі.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Вексель </w:t>
      </w:r>
      <w:r>
        <w:rPr>
          <w:color w:val="000000"/>
          <w:sz w:val="28"/>
          <w:szCs w:val="28"/>
        </w:rPr>
        <w:t xml:space="preserve">– це письмове безумовне зобов’язання, боргова  розписка  стандартної  форми,  що  дає право  її  власнику  вимагати  </w:t>
      </w:r>
      <w:r>
        <w:rPr>
          <w:color w:val="000000"/>
          <w:sz w:val="28"/>
          <w:szCs w:val="28"/>
        </w:rPr>
        <w:t xml:space="preserve">сплати  визначеної суми  від  особи,  яка  видала  вексель,  у  відповідний строк і у відповідному місці. </w:t>
      </w:r>
      <w:r>
        <w:rPr>
          <w:color w:val="000000"/>
          <w:sz w:val="28"/>
          <w:szCs w:val="28"/>
        </w:rPr>
        <w:br/>
        <w:t>Залежно  від  форми  та  способу  використання  розрізняють простий і переказний векселі. Простий вексель (соло) містить просте,  нічим  не  обумовле</w:t>
      </w:r>
      <w:r>
        <w:rPr>
          <w:color w:val="000000"/>
          <w:sz w:val="28"/>
          <w:szCs w:val="28"/>
        </w:rPr>
        <w:t>не  зобов’язання  векселедавця заплатити  власнику  векселя  після  зазначеного  терміну  певну суму.  У  складанні  простого  векселя  беруть  участь  дві  особи: боржник  (позичальник)  i  кредитор.  Боржник  (векселедавець) виписує вексель, у якому зобо</w:t>
      </w:r>
      <w:r>
        <w:rPr>
          <w:color w:val="000000"/>
          <w:sz w:val="28"/>
          <w:szCs w:val="28"/>
        </w:rPr>
        <w:t xml:space="preserve">в’язується виплатити суму боргу і зазначений термін, підписує його та передає своєму кредитору (векселедержателю).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Переказний  вексель  (тратта)  містить  письмову  вказівку векселетримача  (трасанта),  що  адресована  платнику  (трасату), заплатити  тре</w:t>
      </w:r>
      <w:r>
        <w:rPr>
          <w:color w:val="000000"/>
          <w:sz w:val="28"/>
          <w:szCs w:val="28"/>
        </w:rPr>
        <w:t xml:space="preserve">тій  особі  (ремітенту)  певну  суму  грошей  у визначений термін. 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Переказний  вексель  повинен  мати  акцепт  –  зобов’язання платника (трасата) оплатити цей вексель (тратту) при настанні вказаного  в  ньому  терміну.  Акцептуючи  вексель,  платник (акц</w:t>
      </w:r>
      <w:r>
        <w:rPr>
          <w:color w:val="000000"/>
          <w:sz w:val="28"/>
          <w:szCs w:val="28"/>
        </w:rPr>
        <w:t>ептант) приймає на себе зобов’язання щодо його своєчасної оплати в розмiрi суми, на яку здійснено акцепт, i стає, як i той, хто надав простий вексель, головною зобов’язаною за векселем особою.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Похідні  фінансові продукти</w:t>
      </w:r>
      <w:r>
        <w:rPr>
          <w:color w:val="000000"/>
          <w:sz w:val="28"/>
          <w:szCs w:val="28"/>
        </w:rPr>
        <w:t xml:space="preserve">  містять  у  собі  майнові права,  </w:t>
      </w:r>
      <w:r>
        <w:rPr>
          <w:color w:val="000000"/>
          <w:sz w:val="28"/>
          <w:szCs w:val="28"/>
        </w:rPr>
        <w:t xml:space="preserve">засновані  на  використанні фінансових інструментів.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 таких  цінних  паперів відносять, передусім, форвардні контракти, ф’ючерси, опціони, свопи. Більша їх частина проходить через фондові біржі.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Фінансовий  ф’ючерс</w:t>
      </w:r>
      <w:r>
        <w:rPr>
          <w:color w:val="000000"/>
          <w:sz w:val="28"/>
          <w:szCs w:val="28"/>
        </w:rPr>
        <w:t xml:space="preserve">  –  це  стандартний строковий  контра</w:t>
      </w:r>
      <w:r>
        <w:rPr>
          <w:color w:val="000000"/>
          <w:sz w:val="28"/>
          <w:szCs w:val="28"/>
        </w:rPr>
        <w:t>кт,  який  укладається  між емітентом (продавцем) та покупцем (інвестором) в цілях купівлі та продажу в майбутньому цінних паперів  або  фінансових  інструментів  по зафіксованій раніше ціні.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Угода  передбачає  внесення  певного  страхового  депозиту  в за</w:t>
      </w:r>
      <w:r>
        <w:rPr>
          <w:color w:val="000000"/>
          <w:sz w:val="28"/>
          <w:szCs w:val="28"/>
        </w:rPr>
        <w:t xml:space="preserve">лежності від руху на ринку тих паперів та інструментів, право на здійснення операцій з якими має </w:t>
      </w:r>
      <w:r>
        <w:rPr>
          <w:i/>
          <w:color w:val="000000"/>
          <w:sz w:val="28"/>
          <w:szCs w:val="28"/>
        </w:rPr>
        <w:t>покупець контракту</w:t>
      </w:r>
      <w:r>
        <w:rPr>
          <w:color w:val="000000"/>
          <w:sz w:val="28"/>
          <w:szCs w:val="28"/>
        </w:rPr>
        <w:t xml:space="preserve">. Така угода базується  на різниці  між  фіксованою  ціною  та ціною на дату виконання угоди. </w:t>
      </w:r>
      <w:r>
        <w:rPr>
          <w:color w:val="000000"/>
          <w:sz w:val="28"/>
          <w:szCs w:val="28"/>
          <w:highlight w:val="white"/>
        </w:rPr>
        <w:t>Особливість ф'ючерсних контрактів полягає в том</w:t>
      </w:r>
      <w:r>
        <w:rPr>
          <w:color w:val="000000"/>
          <w:sz w:val="28"/>
          <w:szCs w:val="28"/>
          <w:highlight w:val="white"/>
        </w:rPr>
        <w:t xml:space="preserve">у, що їх звичайно укладають не з метою фізичної купівлі або продажу базового </w:t>
      </w:r>
      <w:r>
        <w:rPr>
          <w:color w:val="000000"/>
          <w:sz w:val="28"/>
          <w:szCs w:val="28"/>
          <w:highlight w:val="white"/>
        </w:rPr>
        <w:lastRenderedPageBreak/>
        <w:t>активу, а з метою страхування (хеджування) реальних угод з товаром, а також для одержання спекулятивного прибутку під час перепродажу ф'ючерсів або після припинення дії угоди. При</w:t>
      </w:r>
      <w:r>
        <w:rPr>
          <w:color w:val="000000"/>
          <w:sz w:val="28"/>
          <w:szCs w:val="28"/>
          <w:highlight w:val="white"/>
        </w:rPr>
        <w:t xml:space="preserve"> страхуванні реальних угод ф'ючерсні угоди здійснюють паралельно на ту ж суму, але з протилежним змістом. При настанні терміну оплати за основною угодою облік зворотніх (офсетних) угод запобігає можливому недоодержанню прибутку, підстраховує його. 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Особлив</w:t>
      </w:r>
      <w:r>
        <w:rPr>
          <w:color w:val="000000"/>
          <w:sz w:val="28"/>
          <w:szCs w:val="28"/>
        </w:rPr>
        <w:t>ість ф’ючерсу полягає в тому, що продавець не розпоряджається цінними паперами або фінансовими інструментами  в момент узгодження контракту.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Опціон </w:t>
      </w:r>
      <w:r>
        <w:rPr>
          <w:color w:val="000000"/>
          <w:sz w:val="28"/>
          <w:szCs w:val="28"/>
        </w:rPr>
        <w:t>– строковий контракт на цінні папери чи інший  фінансовий  інструмент, який отримує покупець опціону з умово</w:t>
      </w:r>
      <w:r>
        <w:rPr>
          <w:color w:val="000000"/>
          <w:sz w:val="28"/>
          <w:szCs w:val="28"/>
        </w:rPr>
        <w:t>ю продажу права на проведення тієї або іншої операції.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Залежно від прав, що надаються власнику (покупцю) опціону, останні поділяються на опціони PUT – «на продаж» та CALL – «на купівлю».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Опціон PUT дає власнику (покупцю) опціону право на продаж через  виз</w:t>
      </w:r>
      <w:r>
        <w:rPr>
          <w:color w:val="000000"/>
          <w:sz w:val="28"/>
          <w:szCs w:val="28"/>
        </w:rPr>
        <w:t xml:space="preserve">начений час за наперед обумовленою  ціною певного виду  активу.  Продавець  такого  опціону  зобов’язаний купити актив у покупця опціону.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Опціон  CALL дає власнику право на купівлю  через визначений час за наперед обумовленою ціною певного активу, який йому зобов’язаний продати продавець опціону. </w:t>
      </w:r>
    </w:p>
    <w:p w:rsidR="00593F29" w:rsidRDefault="009866EC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Опціон на відміну від ф’ючерсної чи форвардної угоди є угодою  «несиметричною». В той час коли </w:t>
      </w:r>
      <w:r>
        <w:rPr>
          <w:color w:val="000000"/>
          <w:sz w:val="28"/>
          <w:szCs w:val="28"/>
        </w:rPr>
        <w:t>ф’ючерсні та форвардні угоди є  обов’язковими  для  виконання  обома учасниками  угоди,  опціон  дає  власнику  право  виконати  чи  не виконати угоду, а для продавця є обов’язковим для виконання. Опціон виконується, коли ситуація на ринку є сприятливою дл</w:t>
      </w:r>
      <w:r>
        <w:rPr>
          <w:color w:val="000000"/>
          <w:sz w:val="28"/>
          <w:szCs w:val="28"/>
        </w:rPr>
        <w:t>я покупця опціону.</w:t>
      </w:r>
    </w:p>
    <w:p w:rsidR="00593F29" w:rsidRDefault="009866EC">
      <w:pPr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Форвард (форвардний контракт)</w:t>
      </w:r>
      <w:r>
        <w:rPr>
          <w:color w:val="000000"/>
          <w:sz w:val="28"/>
          <w:szCs w:val="28"/>
          <w:highlight w:val="white"/>
        </w:rPr>
        <w:t> - це договір між продавцем і покупцем про купівлю-продаж конкретного товару в заздалегідь обумовлений термін. Форвардний контракт - це тверда угода, тобто угода, обов'язкова для виконання. Відмова одного з контрагентів від виконання тягне за собою штрафні</w:t>
      </w:r>
      <w:r>
        <w:rPr>
          <w:color w:val="000000"/>
          <w:sz w:val="28"/>
          <w:szCs w:val="28"/>
          <w:highlight w:val="white"/>
        </w:rPr>
        <w:t xml:space="preserve"> санкції. Форвардні контракти укладають між собою торговельні та виробничі компанії.</w:t>
      </w:r>
    </w:p>
    <w:p w:rsidR="00593F29" w:rsidRDefault="009866EC">
      <w:pPr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Предметом угоди можуть вступати різні активи, наприклад акції, облігації, валюта і т.д. Поширені форвардні контракти на купівлю і продаж валюти між банками та їх клієнтами</w:t>
      </w:r>
      <w:r>
        <w:rPr>
          <w:color w:val="000000"/>
          <w:sz w:val="28"/>
          <w:szCs w:val="28"/>
          <w:highlight w:val="white"/>
        </w:rPr>
        <w:t>. Контрагент, який зобов'язується поставити за контрактом відповідний актив, відкриває коротку позицію, тобто продає форвардний контракт. Контрагент, що придбає актив, відкриває довгу позицію, тобто купує контракт.</w:t>
      </w:r>
    </w:p>
    <w:p w:rsidR="00593F29" w:rsidRDefault="009866EC">
      <w:pPr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Форварди укладаються, як правило, у випад</w:t>
      </w:r>
      <w:r>
        <w:rPr>
          <w:color w:val="000000"/>
          <w:sz w:val="28"/>
          <w:szCs w:val="28"/>
          <w:highlight w:val="white"/>
        </w:rPr>
        <w:t xml:space="preserve">ку реальної поставки (купівлі або продажу) відповідного активу з метою страхування від можливих несприятливих цінових змін на даний актив. Форвардний контракт означає для виробника гарантований продаж продукції в визначений момент у майбутньому за наперед </w:t>
      </w:r>
      <w:r>
        <w:rPr>
          <w:color w:val="000000"/>
          <w:sz w:val="28"/>
          <w:szCs w:val="28"/>
          <w:highlight w:val="white"/>
        </w:rPr>
        <w:t>обумовленою ціною, для покупця гарантоване надходження продукції в потрібний момент і з наперед визначеними грошовими витратами на її придбання. Менш ніж 5 % ф'ючерсних угод закінчуються поставкою, а форварди, навпаки, орієнтовані на реальну поставку актив</w:t>
      </w:r>
      <w:r>
        <w:rPr>
          <w:color w:val="000000"/>
          <w:sz w:val="28"/>
          <w:szCs w:val="28"/>
          <w:highlight w:val="white"/>
        </w:rPr>
        <w:t>у.</w:t>
      </w:r>
    </w:p>
    <w:p w:rsidR="00593F29" w:rsidRDefault="009866EC">
      <w:pPr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Форвардний контракт може укладатися з метою гри на різниці курсової вартості активів. Особа, що відкриває довгу позицію, розраховує на зростання ціни </w:t>
      </w:r>
      <w:r>
        <w:rPr>
          <w:color w:val="000000"/>
          <w:sz w:val="28"/>
          <w:szCs w:val="28"/>
          <w:highlight w:val="white"/>
        </w:rPr>
        <w:lastRenderedPageBreak/>
        <w:t>базисного активу, а особа, яка відкриває коротку позицію, - на її зниження. Так, отримавши акції за одн</w:t>
      </w:r>
      <w:r>
        <w:rPr>
          <w:color w:val="000000"/>
          <w:sz w:val="28"/>
          <w:szCs w:val="28"/>
          <w:highlight w:val="white"/>
        </w:rPr>
        <w:t>ією ціною, інвестор продає їх на спотовому ринку за вищою ціною спот (звичайно, якщо його розрахунки були зроблені правильно і курс активу підвищився).</w:t>
      </w:r>
    </w:p>
    <w:p w:rsidR="00593F29" w:rsidRDefault="00593F29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firstLine="540"/>
        <w:jc w:val="both"/>
        <w:rPr>
          <w:color w:val="000000"/>
          <w:sz w:val="28"/>
          <w:szCs w:val="28"/>
        </w:rPr>
      </w:pPr>
    </w:p>
    <w:p w:rsidR="00593F29" w:rsidRDefault="009866EC" w:rsidP="009734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sectPr w:rsidR="00593F29">
      <w:footerReference w:type="even" r:id="rId7"/>
      <w:footerReference w:type="default" r:id="rId8"/>
      <w:pgSz w:w="11906" w:h="16838"/>
      <w:pgMar w:top="1134" w:right="746" w:bottom="113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EC" w:rsidRDefault="009866EC">
      <w:r>
        <w:separator/>
      </w:r>
    </w:p>
  </w:endnote>
  <w:endnote w:type="continuationSeparator" w:id="0">
    <w:p w:rsidR="009866EC" w:rsidRDefault="0098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29" w:rsidRDefault="009866E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93F29" w:rsidRDefault="00593F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29" w:rsidRDefault="009866E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73493">
      <w:rPr>
        <w:color w:val="000000"/>
      </w:rPr>
      <w:fldChar w:fldCharType="separate"/>
    </w:r>
    <w:r w:rsidR="00973493">
      <w:rPr>
        <w:noProof/>
        <w:color w:val="000000"/>
      </w:rPr>
      <w:t>4</w:t>
    </w:r>
    <w:r>
      <w:rPr>
        <w:color w:val="000000"/>
      </w:rPr>
      <w:fldChar w:fldCharType="end"/>
    </w:r>
  </w:p>
  <w:p w:rsidR="00593F29" w:rsidRDefault="00593F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EC" w:rsidRDefault="009866EC">
      <w:r>
        <w:separator/>
      </w:r>
    </w:p>
  </w:footnote>
  <w:footnote w:type="continuationSeparator" w:id="0">
    <w:p w:rsidR="009866EC" w:rsidRDefault="0098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8CC"/>
    <w:multiLevelType w:val="multilevel"/>
    <w:tmpl w:val="20FCEA7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2BE3FB8"/>
    <w:multiLevelType w:val="multilevel"/>
    <w:tmpl w:val="49B62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29"/>
    <w:rsid w:val="00593F29"/>
    <w:rsid w:val="00973493"/>
    <w:rsid w:val="009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B11E"/>
  <w15:docId w15:val="{7C7CD78B-C9A3-46E5-B63E-B1F5BF60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7829</Words>
  <Characters>4463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VINGA</dc:creator>
  <cp:lastModifiedBy>VINGA</cp:lastModifiedBy>
  <cp:revision>2</cp:revision>
  <dcterms:created xsi:type="dcterms:W3CDTF">2023-12-07T10:04:00Z</dcterms:created>
  <dcterms:modified xsi:type="dcterms:W3CDTF">2023-12-07T10:04:00Z</dcterms:modified>
</cp:coreProperties>
</file>