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E0" w:rsidRPr="00F321FA" w:rsidRDefault="00A75AE0" w:rsidP="00A75AE0">
      <w:pPr>
        <w:jc w:val="center"/>
        <w:rPr>
          <w:rFonts w:ascii="Times New Roman" w:hAnsi="Times New Roman"/>
          <w:b/>
          <w:sz w:val="24"/>
          <w:lang w:val="uk-UA"/>
        </w:rPr>
      </w:pPr>
      <w:bookmarkStart w:id="0" w:name="_GoBack"/>
      <w:bookmarkEnd w:id="0"/>
      <w:proofErr w:type="spellStart"/>
      <w:r w:rsidRPr="00F321FA">
        <w:rPr>
          <w:rFonts w:ascii="Times New Roman" w:hAnsi="Times New Roman"/>
          <w:b/>
          <w:sz w:val="24"/>
        </w:rPr>
        <w:t>Питання</w:t>
      </w:r>
      <w:proofErr w:type="spellEnd"/>
      <w:r w:rsidRPr="00F321FA">
        <w:rPr>
          <w:rFonts w:ascii="Times New Roman" w:hAnsi="Times New Roman"/>
          <w:b/>
          <w:sz w:val="24"/>
        </w:rPr>
        <w:t xml:space="preserve"> для </w:t>
      </w:r>
      <w:proofErr w:type="spellStart"/>
      <w:r w:rsidRPr="00F321FA">
        <w:rPr>
          <w:rFonts w:ascii="Times New Roman" w:hAnsi="Times New Roman"/>
          <w:b/>
          <w:sz w:val="24"/>
        </w:rPr>
        <w:t>заліку</w:t>
      </w:r>
      <w:proofErr w:type="spellEnd"/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Метою аналізу фінансового стану підприємства є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Аналіз фінансового стану суб′єкта господарювання здійснюється у разі визначення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За інформаційними джерелами та користувачами аналітичної інформації фінансовий аналіз поділяють на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В основі вертикального аналізу статей фінансової звітності лежить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5. Д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ослідження зміни показників у часі з розрахунками абсолютних і відносних відхилень − це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6. Фінансові коефіцієнти відносяться до величин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Форма звітності №1 «Баланс» – це:</w:t>
      </w: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8.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Який принцип фінансового аналізу припускає розподіл фінансової діяльності підприємства на певні періоди часу з метою складання фінансової звітності:</w:t>
      </w: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Яка форма звітності містить інформацію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 доходи,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витрати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прибутки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і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збитки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від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діяльності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звітний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період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Активи − це:</w:t>
      </w:r>
    </w:p>
    <w:p w:rsidR="00A75AE0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11.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Метою складання фінансової звітності є:</w:t>
      </w: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12.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Інформаційною базою для фінансового аналізу є: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Згідно зі звітом про фінансові результати відсотки за кредит відображаються в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14.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  Актив балансу відображає: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15.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  Метою якого звіту є надання користувачам повної, правдивої і неупередженої інформації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про доходи, витрати, прибутки та збитки від діяльності підприємства за звітний період:</w:t>
      </w: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16. 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Фінансова звітність згідно П(С)БО − це: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17.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У бухгалтерському балансі підприємства активи відображають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18.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У бухгалтерському балансі пасиви розміщують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19.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Яку з форм фінансової звітності побудовано за шаховим принципом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Звіт про рух грошових коштів належить до звітності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972A7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Відомі такі дані з балансу підприємства: необоротні активи складають 120 тис. грн, власний капітал − 150 тис. грн, довгострокові зобов′язання − 30 тис. грн, поточні зобов′язання − 10 тис. грн. Розмір оборотних активів складатиме:</w:t>
      </w: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2</w:t>
      </w: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2. </w:t>
      </w:r>
      <w:r w:rsidRPr="00972A7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Відомі такі дані з балансу підприємства: необоротні активи − 60 тис. грн, оборотні активи − 40 тис. грн, довгострокові зобов′язання − 20 тис.грн, короткострокові зобов′язання − 10 тис.грн. У цьому випадку власний капітал становитиме: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Майно підприємства складається з:</w:t>
      </w: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4.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Питання, які необхідно зв’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ясувати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аналізі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майна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5.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Яка із перелічених ситуацій не є ознакою балансу успішного підприємства:</w:t>
      </w: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6.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Інформаційними джерелами для аналізу майна підприємства є:</w:t>
      </w:r>
    </w:p>
    <w:p w:rsidR="00A75AE0" w:rsidRPr="00972A74" w:rsidRDefault="00A75AE0" w:rsidP="00A75AE0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Коефіцієнт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зносу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основних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засобів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визначається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формулою:</w:t>
      </w: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Коефіцієнт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вибуття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основних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засобів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визначається</w:t>
      </w:r>
      <w:proofErr w:type="spellEnd"/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формулою:</w:t>
      </w: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9.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перший етап аналізу майна підприємства: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  <w:lang w:val="uk-UA"/>
        </w:rPr>
        <w:t>3</w:t>
      </w:r>
      <w:r w:rsidRPr="00972A74">
        <w:rPr>
          <w:rFonts w:ascii="Times New Roman" w:hAnsi="Times New Roman" w:cs="Times New Roman"/>
          <w:color w:val="000000"/>
          <w:spacing w:val="-8"/>
          <w:sz w:val="24"/>
          <w:szCs w:val="24"/>
          <w:lang w:val="uk-UA"/>
        </w:rPr>
        <w:t>0.  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Коефіцієнт оновлення основних засобів </w:t>
      </w:r>
      <w:r w:rsidRPr="00972A7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показує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:</w:t>
      </w:r>
    </w:p>
    <w:p w:rsidR="00A75AE0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Що з переліченого не є завданням аналізу необоротних активів:</w:t>
      </w:r>
    </w:p>
    <w:p w:rsidR="00A75AE0" w:rsidRDefault="00A75AE0" w:rsidP="00A75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Який з перелічених показників характеризує ефективність використання основних засобів:</w:t>
      </w:r>
    </w:p>
    <w:p w:rsidR="00A75AE0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Активи, сформовані за рахунок лише власного капіталу, називаються:</w:t>
      </w: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3</w:t>
      </w:r>
      <w:r w:rsidRPr="00972A7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4. 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Матеріальні необоротні активи включають:</w:t>
      </w: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Індекс постійного активу визначається як відношення:</w:t>
      </w: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36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Ліквідність − це: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37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Платоспроможність − це: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Аналіз платоспроможності здійснюється з метою: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39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Який розділ ф. №1 «Баланс» містить відомості про короткострокові зобов′язання підприємства: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</w:p>
    <w:p w:rsidR="00A75AE0" w:rsidRPr="00972A74" w:rsidRDefault="00A75AE0" w:rsidP="00A75AE0">
      <w:pPr>
        <w:tabs>
          <w:tab w:val="left" w:pos="284"/>
        </w:tabs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lang w:val="uk-UA"/>
        </w:rPr>
        <w:t>40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Коефіцієнт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  <w:lang w:val="uk-UA"/>
        </w:rPr>
        <w:t>загаль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ної</w:t>
      </w:r>
      <w:proofErr w:type="spellEnd"/>
      <w:proofErr w:type="gram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ліквідності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дає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змогу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встановити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яким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чином: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41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Виробничі запаси відносяться до: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Якщо на підприємстві виконуються перші три умови А1≥П1, А2≥П2, А3≥П3, то, виходячи з «балансу» активу і пасиву, остання нерівність системи матиме вигляд: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43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 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Коефіцієнт, що дозволяє виявити, якою мірою поточні активи покривають поточні зобов’язання підприємства: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lang w:val="uk-UA"/>
        </w:rPr>
        <w:t>44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.  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Оцінку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ліквідності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підприємства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дають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основі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таких 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показ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softHyphen/>
        <w:t>ників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:</w:t>
      </w:r>
    </w:p>
    <w:p w:rsidR="00A75AE0" w:rsidRPr="00972A74" w:rsidRDefault="00A75AE0" w:rsidP="00A75AE0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75AE0" w:rsidRPr="00972A74" w:rsidRDefault="00A75AE0" w:rsidP="00A75AE0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75AE0" w:rsidRPr="00972A74" w:rsidRDefault="00A75AE0" w:rsidP="00A75AE0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lang w:val="uk-UA"/>
        </w:rPr>
        <w:t>45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.  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Значення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0,7 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0,8 є 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  <w:lang w:val="uk-UA"/>
        </w:rPr>
        <w:t>оптимальним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коефіцієнта</w:t>
      </w:r>
      <w:proofErr w:type="spell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46</w:t>
      </w: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Які з вказаних термінів є близькими за економічним змістом, але не тотожними:</w:t>
      </w:r>
    </w:p>
    <w:p w:rsidR="00A75AE0" w:rsidRPr="00972A74" w:rsidRDefault="00A75AE0" w:rsidP="00A75AE0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47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з фінансових коефіцієнтів розраховується як відношення суми грошових активів та поточних фінансових інвестицій до суми поточних зобов′язань:</w:t>
      </w:r>
    </w:p>
    <w:p w:rsidR="00A75AE0" w:rsidRPr="00972A74" w:rsidRDefault="00A75AE0" w:rsidP="00A75AE0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48</w:t>
      </w: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 зміниться значення коефіцієнта абсолютної ліквідності, якщо грошові активи зростуть на 10%, а сума поточних зобов′язань збільшиться на 15%:</w:t>
      </w:r>
    </w:p>
    <w:p w:rsidR="00A75AE0" w:rsidRPr="00972A74" w:rsidRDefault="00A75AE0" w:rsidP="00A75AE0">
      <w:pPr>
        <w:pStyle w:val="a4"/>
        <w:jc w:val="both"/>
        <w:rPr>
          <w:bCs/>
          <w:color w:val="000000"/>
          <w:spacing w:val="-6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49</w:t>
      </w: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Підприємство має такі значення показників ліквідності: коефіцієнт абсолютної ліквідності − 0,1; коефіцієнт швидкої ліквідності − 0,5; коефіцієнт поточної ліквідності − 2. Який з елементів оборотних активів  матиме найбільшу питому вагу в їхній структурі:</w:t>
      </w:r>
    </w:p>
    <w:p w:rsidR="00A75AE0" w:rsidRPr="00972A74" w:rsidRDefault="00A75AE0" w:rsidP="00A75AE0">
      <w:pPr>
        <w:pStyle w:val="a4"/>
        <w:jc w:val="both"/>
        <w:rPr>
          <w:bCs/>
          <w:color w:val="000000"/>
          <w:spacing w:val="-6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50</w:t>
      </w: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 зміниться коефіцієнт швидкої ліквідності підприємства, якщо запаси готової продукції і дебіторська заборгованість </w:t>
      </w:r>
      <w:proofErr w:type="spellStart"/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зменшаться</w:t>
      </w:r>
      <w:proofErr w:type="spellEnd"/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суттєвіше, ніж </w:t>
      </w:r>
      <w:proofErr w:type="spellStart"/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зменшаться</w:t>
      </w:r>
      <w:proofErr w:type="spellEnd"/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поточні зобов’язання:</w:t>
      </w:r>
    </w:p>
    <w:p w:rsidR="00A75AE0" w:rsidRPr="00972A74" w:rsidRDefault="00A75AE0" w:rsidP="00A75AE0">
      <w:pPr>
        <w:pStyle w:val="a4"/>
        <w:jc w:val="both"/>
        <w:rPr>
          <w:bCs/>
          <w:color w:val="000000"/>
          <w:spacing w:val="-6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51</w:t>
      </w: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Яка з </w:t>
      </w:r>
      <w:proofErr w:type="spellStart"/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нерівностей</w:t>
      </w:r>
      <w:proofErr w:type="spellEnd"/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, що характеризує ліквідність балансу, означає, що розмір абсолютно ліквідних активів повинен перевищувати найбільш термінові зобов′язання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pStyle w:val="a4"/>
        <w:jc w:val="both"/>
        <w:rPr>
          <w:bCs/>
          <w:color w:val="000000"/>
          <w:spacing w:val="-6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52</w:t>
      </w: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Яка з </w:t>
      </w:r>
      <w:proofErr w:type="spellStart"/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нерівностей</w:t>
      </w:r>
      <w:proofErr w:type="spellEnd"/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, що характеризує ліквідність балансу, означає, що розмір власного капіталу повинен перевищувати розмір необоротних активів:</w:t>
      </w: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Що має вищу ліквідність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54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з перелічених факторів впливає на погіршення ліквідності балансу?</w:t>
      </w: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55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показник характеризує платоспроможність підприємства:</w:t>
      </w: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56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Робочий капітал визначається як різниця між:</w:t>
      </w:r>
    </w:p>
    <w:p w:rsidR="00A75AE0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A75AE0" w:rsidRPr="00A75AE0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7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Pr="00A75AE0">
        <w:rPr>
          <w:rFonts w:ascii="Times New Roman" w:hAnsi="Times New Roman" w:cs="Times New Roman"/>
          <w:b/>
          <w:i/>
          <w:iCs/>
          <w:sz w:val="24"/>
          <w:szCs w:val="24"/>
        </w:rPr>
        <w:t>Відповідно</w:t>
      </w:r>
      <w:proofErr w:type="spellEnd"/>
      <w:r w:rsidRPr="00A75A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до НП(С)БО 1 </w:t>
      </w:r>
      <w:proofErr w:type="spellStart"/>
      <w:r w:rsidRPr="00A75AE0">
        <w:rPr>
          <w:rFonts w:ascii="Times New Roman" w:hAnsi="Times New Roman" w:cs="Times New Roman"/>
          <w:b/>
          <w:i/>
          <w:iCs/>
          <w:sz w:val="24"/>
          <w:szCs w:val="24"/>
        </w:rPr>
        <w:t>грошові</w:t>
      </w:r>
      <w:proofErr w:type="spellEnd"/>
      <w:r w:rsidRPr="00A75A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75AE0">
        <w:rPr>
          <w:rFonts w:ascii="Times New Roman" w:hAnsi="Times New Roman" w:cs="Times New Roman"/>
          <w:b/>
          <w:i/>
          <w:iCs/>
          <w:sz w:val="24"/>
          <w:szCs w:val="24"/>
        </w:rPr>
        <w:t>кошти</w:t>
      </w:r>
      <w:proofErr w:type="spellEnd"/>
      <w:r w:rsidRPr="00A75A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</w:t>
      </w:r>
      <w:proofErr w:type="spellStart"/>
      <w:r w:rsidRPr="00A75AE0">
        <w:rPr>
          <w:rFonts w:ascii="Times New Roman" w:hAnsi="Times New Roman" w:cs="Times New Roman"/>
          <w:b/>
          <w:i/>
          <w:iCs/>
          <w:sz w:val="24"/>
          <w:szCs w:val="24"/>
        </w:rPr>
        <w:t>це</w:t>
      </w:r>
      <w:proofErr w:type="spellEnd"/>
      <w:r w:rsidRPr="00A75AE0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Сукупність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розподілених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у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часі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надходжень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і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витрачань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грошей,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які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генеруються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господарською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діяльністю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підприємства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, –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це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визначення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A75AE0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Як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поділяються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грошові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потоки за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напрямом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руху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грошових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коштів</w:t>
      </w:r>
      <w:proofErr w:type="spellEnd"/>
      <w:r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A75AE0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A75AE0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60</w:t>
      </w:r>
      <w:r w:rsidR="00A75AE0" w:rsidRPr="00A75AE0">
        <w:rPr>
          <w:rFonts w:ascii="Times New Roman" w:hAnsi="Times New Roman" w:cs="Times New Roman"/>
          <w:b/>
          <w:iCs/>
          <w:sz w:val="24"/>
          <w:szCs w:val="24"/>
          <w:lang w:val="uk-UA"/>
        </w:rPr>
        <w:t>. Різницю між додатним і від’ємним потоками грошей у періоді,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A75AE0">
        <w:rPr>
          <w:rFonts w:ascii="Times New Roman" w:hAnsi="Times New Roman" w:cs="Times New Roman"/>
          <w:b/>
          <w:iCs/>
          <w:sz w:val="24"/>
          <w:szCs w:val="24"/>
          <w:lang w:val="uk-UA"/>
        </w:rPr>
        <w:t>що аналізується, характеризує грошовий потік: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61.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Який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грошовий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потік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відображає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надходження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коштів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від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покупців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і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виплати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грошей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постачальникам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62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Відповідно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до НП(С)БО 1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рух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грошових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коштів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результаті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операційної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діяльності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з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використанням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63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. Надходження грошових коштів від реалізації продукції відображається у складі: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lastRenderedPageBreak/>
        <w:t xml:space="preserve">64.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Згідно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з прямим методом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рух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коштів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результаті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операційної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діяльності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65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До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видів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надходжень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грошових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коштів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розділі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І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форми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№ 3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«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Звіт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про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рух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грошових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коштів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відноситься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66.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Який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з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наведених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факторів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зумовлює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збільшення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чистого грошового потоку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від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операційної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діяльності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67</w:t>
      </w:r>
      <w:r w:rsidR="00A75AE0"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. Грошові кошти від інвестиційної діяльності – це: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68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До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видів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надходжень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грошових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коштів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у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розділі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ІІ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форми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№ 3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«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Звіт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про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рух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грошових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коштів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»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відноситься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69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До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видів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витрачань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грошових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коштів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у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розділі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ІІІ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форми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№ 3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50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Підприємство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одержало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позику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100 тис.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грн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під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20 %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річних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на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6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місяців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На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кінець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року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воно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розрахувалося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за процентами, але не повернуло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основну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суму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позики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Як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ці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операції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вплинули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на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рух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грошових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коштів</w:t>
      </w:r>
      <w:proofErr w:type="spellEnd"/>
      <w:r w:rsidR="00A75AE0" w:rsidRPr="00972A74">
        <w:rPr>
          <w:rFonts w:ascii="Times New Roman" w:eastAsia="TimesNewRoman" w:hAnsi="Times New Roman" w:cs="Times New Roman"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195E18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5</w:t>
      </w:r>
      <w:r w:rsid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1</w:t>
      </w:r>
      <w:r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. Залишок коштів на початок року – 50 тис. грн, чисте надходження коштів у результаті операційної діяльності – 500 тис. грн, чисте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витрачання коштів у результаті інвестиційної діяльності – 450 тис. грн,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чисте надходження коштів у результаті фінансової діяльності –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30 тис. грн. </w:t>
      </w:r>
      <w:r w:rsidRPr="00195E18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Чому дорівнює залишок коштів на кінець року: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195E18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52</w:t>
      </w:r>
      <w:r w:rsidR="00A75AE0" w:rsidRPr="00195E18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. Який вид аналізу грошових потоків дає змогу розрахувати частку окремих джерел надходження і напрямів витрачання коштів у загальному їх обсязі: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53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Який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з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наведених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факторів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не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належить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до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внутрішніх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факторів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що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впливають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на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формування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грошових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потоків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підприємства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uk-UA"/>
        </w:rPr>
        <w:t>54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Як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показник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Cash-Flow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 55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Відношенням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чистого грошового потоку до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суми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погашення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позик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, приросту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запасів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і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сплачених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дивідендів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56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Який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показник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відношенням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Cash-Flow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до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поточної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кредиторської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заборгованості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</w:rPr>
        <w:t>5</w:t>
      </w: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Який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показник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характеризує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синхронність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формування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грошових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потоків</w:t>
      </w:r>
      <w:proofErr w:type="spellEnd"/>
      <w:r w:rsidR="00A75AE0" w:rsidRPr="00972A74">
        <w:rPr>
          <w:rFonts w:ascii="Times New Roman" w:eastAsia="TimesNewRoman" w:hAnsi="Times New Roman" w:cs="Times New Roman"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</w:t>
      </w:r>
      <w:r w:rsid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8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Коефіцієнт</w:t>
      </w:r>
      <w:proofErr w:type="spell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негайного</w:t>
      </w:r>
      <w:proofErr w:type="spell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виконання</w:t>
      </w:r>
      <w:proofErr w:type="spell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боргових</w:t>
      </w:r>
      <w:proofErr w:type="spell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зобов’язань</w:t>
      </w:r>
      <w:proofErr w:type="spell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відношенням</w:t>
      </w:r>
      <w:proofErr w:type="spell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</w:t>
      </w:r>
      <w:r w:rsid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9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За </w:t>
      </w:r>
      <w:proofErr w:type="spell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якою</w:t>
      </w:r>
      <w:proofErr w:type="spell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формулою </w:t>
      </w:r>
      <w:proofErr w:type="spell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коефіцієнт</w:t>
      </w:r>
      <w:proofErr w:type="spell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перспективного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виконання</w:t>
      </w:r>
      <w:proofErr w:type="spell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боргових</w:t>
      </w:r>
      <w:proofErr w:type="spell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зобов’язань</w:t>
      </w:r>
      <w:proofErr w:type="spell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60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Якщо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коефіцієнт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перспективного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виконання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боргових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зобов’язань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більше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1 за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умови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чистого грошового потоку,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це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означає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lastRenderedPageBreak/>
        <w:t>61</w:t>
      </w:r>
      <w:r w:rsidR="00A75AE0"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. Коефіцієнт ефективності грошових потоків підприємства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розраховується як відношення: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62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За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якого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значення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коефіцієнта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ефективності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грошових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потоків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фінансовий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стан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підприємства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є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стійким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63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Відношення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фінансового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результату до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середнього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залишку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грошей та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їх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еквівалентів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виражене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у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відсотках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, –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це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показник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рентабельності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64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Показник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рентабельності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отриманих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грошових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коштів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як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відношення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5.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Який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показник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характеризує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суму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прибутку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(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збитку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),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що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припадає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на 1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грн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грошових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коштів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які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витрачені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підприємством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за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період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дослідження</w:t>
      </w:r>
      <w:proofErr w:type="spellEnd"/>
      <w:r w:rsidR="00A75AE0" w:rsidRPr="00972A74">
        <w:rPr>
          <w:rFonts w:ascii="Times New Roman" w:eastAsia="TimesNewRoman" w:hAnsi="Times New Roman" w:cs="Times New Roman"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66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Рентабельність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на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основі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грошового потоку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як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відношення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67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Який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чинник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буде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свідчити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про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ефективність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удосконалення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системи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управління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грошовими</w:t>
      </w:r>
      <w:proofErr w:type="spell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потоками: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uk-UA"/>
        </w:rPr>
        <w:t>68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Потенційна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можливість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впливати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на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прибуток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від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реалізації</w:t>
      </w:r>
      <w:proofErr w:type="spellEnd"/>
    </w:p>
    <w:p w:rsidR="00A75AE0" w:rsidRPr="009743BE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продукції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шляхом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зміни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структури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собівартості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та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обсягу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продажу –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це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69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Рівень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виробничого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левериджу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як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відношення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70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Темп приросту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обсягу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реалізації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продукції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– 5 %, темп приросту</w:t>
      </w:r>
    </w:p>
    <w:p w:rsidR="00A75AE0" w:rsidRPr="009743BE" w:rsidRDefault="00A75AE0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валового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прибутку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– 10 %.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Чому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дорівнює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коефіцієнт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виробничого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левериджу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  <w:lang w:val="uk-UA"/>
        </w:rPr>
        <w:t>71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Потенційна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можливість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впливати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на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чистий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прибуток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і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рентабельність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шляхом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зміни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структури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власного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і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позикового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капіталу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–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це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72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Рівень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левериджу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як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відношення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73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Темп приросту валового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прибутку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– 10 %, темп приросту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чис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-</w:t>
      </w:r>
    </w:p>
    <w:p w:rsidR="00A75AE0" w:rsidRPr="009743BE" w:rsidRDefault="00A75AE0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того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прибутку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– 15 %.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Чому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дорівнює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коефіцієнт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фінансового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левериджу</w:t>
      </w:r>
      <w:proofErr w:type="spellEnd"/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74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Коефіцієнт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виробничого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левериджу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– 3,0,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коефіцієнт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левериджу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– 1,2.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Коефіцієнт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виробничо-фінансового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левериджу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дорівнює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75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Відношення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позикового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капіталу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до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власного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капіталу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–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це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76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Диференціал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важеля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–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це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P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uk-UA"/>
        </w:rPr>
        <w:t>77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Чому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дорівнює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ефект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важеля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якщо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диференціал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важеля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– 5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відсоткових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пунктів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, плече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важеля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–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0,5: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78.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Якщо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рентабельність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сукупного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капіталу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вища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від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середньозваженої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ціни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позикових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ресурсів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виникає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79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Приріст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рентабельності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власного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капіталу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– 10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відсоткових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пунктів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, темп приросту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прибутку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від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господарської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діяльності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– 20 %.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Рівень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фінансового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важеля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дорівнює</w:t>
      </w:r>
      <w:proofErr w:type="spell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: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lastRenderedPageBreak/>
        <w:t>80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Одна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старін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зобов’язанні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юридична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чи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фізична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особа), яка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повинна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сплатити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борг/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виконати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вимогу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банку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згідно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з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умовами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укладеного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договору –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це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визначення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81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Спроможність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за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конкретних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умов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кредитування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повному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обсязі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та 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визначений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кредитною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угодою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строк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розрахуватися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за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своїми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борговими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зобов’язаннями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виключно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грошима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що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генеруються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боржником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процесі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основної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діяльності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, –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це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визначення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82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. Яка міжнародна система оцінювання кредитоспроможності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вивчає репутацію боржника, капітал, фінансові можливості, забезпечення, загальні економічні умови</w:t>
      </w:r>
      <w:r w:rsidR="00A75AE0" w:rsidRPr="00F321FA">
        <w:rPr>
          <w:rFonts w:ascii="Times New Roman" w:hAnsi="Times New Roman" w:cs="Times New Roman"/>
          <w:iCs/>
          <w:sz w:val="24"/>
          <w:szCs w:val="24"/>
          <w:lang w:val="uk-UA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83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Банк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визначає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платоспроможність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боржника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юридичної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особи,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що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складає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квартальну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і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річну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фінансову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звітність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, не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рідше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ніж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один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раз на: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84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. Сукупність інформації про виконання юридичною або фізичною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особою боргових зобов’язань, що включає наявну в банку інформацію щодо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дисципліни виконання боржником своїх зобов’язань в минулому за раніше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наданими та діючими кредитами, а також отриману банком інформацію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з бюро кредитних історій – це визначення: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85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. Банк здійснює оцінювання фінансового стану юридичної особи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(крім банку), якій надано кредит, шляхом розрахунку: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86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Що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впливає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на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вибір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моделі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розрахунку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інтегрального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показника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фінансового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стану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боржника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юридичної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особи</w:t>
      </w:r>
      <w:r w:rsidR="00A75AE0" w:rsidRPr="00972A74">
        <w:rPr>
          <w:rFonts w:ascii="Times New Roman" w:hAnsi="Times New Roman" w:cs="Times New Roman"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87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формулі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розрахунку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інтегрального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показника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фінансового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стану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боржника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юридичної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особи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показники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К1, К2, …,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Кп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це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88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Який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фінансовий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коефіцієнт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відношенням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оборотних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активів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до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поточних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зобов’язань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і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забезпечень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89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Відношенням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власного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капіталу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до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валюти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балансу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коефіцієнт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90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Який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фінансовий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коефіцієнт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характеризує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ефективність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використання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капіталу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підприємства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інвестованого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власниками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91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За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яким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показником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здатність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підприємства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розраховуватися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за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кредиторською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заборгованістю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за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товари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роботи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послуги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виручкою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від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реалізації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продукції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92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. Відношенням фінансового результату від операційної діяльності до чистої виручки від реалізації визначається коефіцієнт: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93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Який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фінансовий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коефіцієнт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відношенням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чистої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виручки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від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реалізації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до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оборотних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активів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94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З метою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уникнення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надмірного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впливу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фінансових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коефіцієнтів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на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інтегральний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показник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фінансового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стану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береться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до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розрахунку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їх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максимальне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значення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95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Клас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боржника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юридичної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особи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визначається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залежно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від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lastRenderedPageBreak/>
        <w:t xml:space="preserve">96.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Якщо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проти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боржника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юридичної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особи порушено справу про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банкрутство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, банк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визначає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клас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боржника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97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Банк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визначає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клас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божника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юридичної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особи не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вище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9,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якщо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98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Операція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з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розміщення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ресурсів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банку, яка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обліковується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за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активними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балансовими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рахунками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банку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або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за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активними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рахунками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позабалансового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обліку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це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99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Ризик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невиконання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боржником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/контрагентом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зобов’язань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(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тобто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ризик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того,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що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виконання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боржником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зобов’язання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проводитиметься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з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перевищенням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строків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передбачених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умовами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договору,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або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в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обсягах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менших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ніж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передбачено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договором,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або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взагалі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не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проводитиметься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) –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це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визначення</w:t>
      </w:r>
      <w:proofErr w:type="spell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100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. За якими категоріями якості банк класифікує активи/надані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фінансові зобов’язання з метою розрахунку резервів:</w:t>
      </w:r>
    </w:p>
    <w:p w:rsidR="00A75AE0" w:rsidRPr="00A75AE0" w:rsidRDefault="00A75AE0" w:rsidP="00A75AE0">
      <w:pPr>
        <w:jc w:val="center"/>
        <w:rPr>
          <w:lang w:val="uk-UA"/>
        </w:rPr>
      </w:pPr>
    </w:p>
    <w:sectPr w:rsidR="00A75AE0" w:rsidRPr="00A7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E0"/>
    <w:rsid w:val="00195E18"/>
    <w:rsid w:val="00A75AE0"/>
    <w:rsid w:val="00F3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5A290-E034-4392-AFDF-E8A8B033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5AE0"/>
    <w:rPr>
      <w:b/>
      <w:bCs/>
    </w:rPr>
  </w:style>
  <w:style w:type="paragraph" w:customStyle="1" w:styleId="a4">
    <w:name w:val="Стиль"/>
    <w:rsid w:val="00A75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8026</Words>
  <Characters>4576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Виговська Наталія Георгіївна</cp:lastModifiedBy>
  <cp:revision>2</cp:revision>
  <dcterms:created xsi:type="dcterms:W3CDTF">2023-12-05T09:27:00Z</dcterms:created>
  <dcterms:modified xsi:type="dcterms:W3CDTF">2023-12-05T09:27:00Z</dcterms:modified>
</cp:coreProperties>
</file>