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A1" w:rsidRDefault="00F332A1" w:rsidP="00F332A1">
      <w:pPr>
        <w:pStyle w:val="a3"/>
        <w:spacing w:before="79"/>
        <w:ind w:left="1400" w:right="99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Лекція 4</w:t>
      </w:r>
    </w:p>
    <w:p w:rsidR="00F332A1" w:rsidRPr="00F332A1" w:rsidRDefault="00F332A1" w:rsidP="00F332A1">
      <w:pPr>
        <w:pStyle w:val="a3"/>
        <w:spacing w:before="79"/>
        <w:ind w:left="1400" w:right="990"/>
        <w:jc w:val="center"/>
        <w:rPr>
          <w:b/>
          <w:bCs/>
          <w:spacing w:val="-4"/>
        </w:rPr>
      </w:pPr>
      <w:r w:rsidRPr="00F332A1">
        <w:rPr>
          <w:b/>
          <w:bCs/>
          <w:spacing w:val="-4"/>
        </w:rPr>
        <w:t>Основні засади нормативно-правового забезпечення ТКС в Україні</w:t>
      </w:r>
    </w:p>
    <w:p w:rsidR="00AF0936" w:rsidRDefault="007B42F7">
      <w:pPr>
        <w:pStyle w:val="a3"/>
        <w:spacing w:before="79"/>
        <w:ind w:left="1400" w:right="990"/>
        <w:jc w:val="center"/>
      </w:pPr>
      <w:r>
        <w:rPr>
          <w:spacing w:val="-4"/>
        </w:rPr>
        <w:t>План</w:t>
      </w:r>
    </w:p>
    <w:p w:rsidR="00AF0936" w:rsidRDefault="007B42F7">
      <w:pPr>
        <w:pStyle w:val="a5"/>
        <w:numPr>
          <w:ilvl w:val="0"/>
          <w:numId w:val="5"/>
        </w:numPr>
        <w:tabs>
          <w:tab w:val="left" w:pos="885"/>
        </w:tabs>
        <w:spacing w:before="187" w:line="322" w:lineRule="exact"/>
        <w:ind w:left="885" w:hanging="359"/>
        <w:rPr>
          <w:sz w:val="28"/>
        </w:rPr>
      </w:pPr>
      <w:r>
        <w:rPr>
          <w:sz w:val="28"/>
        </w:rPr>
        <w:t>Нормативно-правове</w:t>
      </w:r>
      <w:r>
        <w:rPr>
          <w:spacing w:val="-10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7"/>
          <w:sz w:val="28"/>
        </w:rPr>
        <w:t xml:space="preserve"> </w:t>
      </w:r>
      <w:r>
        <w:rPr>
          <w:sz w:val="28"/>
        </w:rPr>
        <w:t>ТКС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Україні</w:t>
      </w:r>
    </w:p>
    <w:p w:rsidR="00AF0936" w:rsidRDefault="00F332A1">
      <w:pPr>
        <w:pStyle w:val="a5"/>
        <w:numPr>
          <w:ilvl w:val="0"/>
          <w:numId w:val="5"/>
        </w:numPr>
        <w:tabs>
          <w:tab w:val="left" w:pos="885"/>
        </w:tabs>
        <w:spacing w:line="322" w:lineRule="exact"/>
        <w:ind w:left="885" w:hanging="359"/>
        <w:rPr>
          <w:sz w:val="28"/>
        </w:rPr>
      </w:pPr>
      <w:r>
        <w:rPr>
          <w:sz w:val="28"/>
        </w:rPr>
        <w:t>Особливість</w:t>
      </w:r>
      <w:r w:rsidR="007B42F7">
        <w:rPr>
          <w:spacing w:val="-6"/>
          <w:sz w:val="28"/>
        </w:rPr>
        <w:t xml:space="preserve"> </w:t>
      </w:r>
      <w:r w:rsidR="007B42F7">
        <w:rPr>
          <w:sz w:val="28"/>
        </w:rPr>
        <w:t>ЗУ</w:t>
      </w:r>
      <w:r w:rsidR="007B42F7">
        <w:rPr>
          <w:spacing w:val="-4"/>
          <w:sz w:val="28"/>
        </w:rPr>
        <w:t xml:space="preserve"> </w:t>
      </w:r>
      <w:r w:rsidR="007B42F7">
        <w:rPr>
          <w:sz w:val="28"/>
        </w:rPr>
        <w:t>«Про</w:t>
      </w:r>
      <w:r w:rsidR="007B42F7">
        <w:rPr>
          <w:spacing w:val="-5"/>
          <w:sz w:val="28"/>
        </w:rPr>
        <w:t xml:space="preserve"> </w:t>
      </w:r>
      <w:r w:rsidR="007B42F7">
        <w:rPr>
          <w:spacing w:val="-4"/>
          <w:sz w:val="28"/>
        </w:rPr>
        <w:t>ТКС»</w:t>
      </w:r>
    </w:p>
    <w:p w:rsidR="00AF0936" w:rsidRDefault="007B42F7">
      <w:pPr>
        <w:pStyle w:val="a5"/>
        <w:numPr>
          <w:ilvl w:val="0"/>
          <w:numId w:val="5"/>
        </w:numPr>
        <w:tabs>
          <w:tab w:val="left" w:pos="886"/>
          <w:tab w:val="left" w:pos="2716"/>
          <w:tab w:val="left" w:pos="4558"/>
          <w:tab w:val="left" w:pos="5170"/>
          <w:tab w:val="left" w:pos="6072"/>
          <w:tab w:val="left" w:pos="7135"/>
          <w:tab w:val="left" w:pos="9209"/>
        </w:tabs>
        <w:spacing w:line="256" w:lineRule="auto"/>
        <w:ind w:right="409"/>
        <w:rPr>
          <w:sz w:val="28"/>
        </w:rPr>
      </w:pPr>
      <w:r>
        <w:rPr>
          <w:spacing w:val="-2"/>
          <w:sz w:val="28"/>
        </w:rPr>
        <w:t>Міжнародна</w:t>
      </w:r>
      <w:r w:rsidR="00F332A1">
        <w:rPr>
          <w:sz w:val="28"/>
        </w:rPr>
        <w:t xml:space="preserve"> </w:t>
      </w:r>
      <w:r>
        <w:rPr>
          <w:spacing w:val="-2"/>
          <w:sz w:val="28"/>
        </w:rPr>
        <w:t>конференція</w:t>
      </w:r>
      <w:r w:rsidR="00F332A1">
        <w:rPr>
          <w:sz w:val="28"/>
        </w:rPr>
        <w:t xml:space="preserve"> </w:t>
      </w:r>
      <w:r>
        <w:rPr>
          <w:spacing w:val="-6"/>
          <w:sz w:val="28"/>
        </w:rPr>
        <w:t>на</w:t>
      </w:r>
      <w:r w:rsidR="00F332A1">
        <w:rPr>
          <w:sz w:val="28"/>
        </w:rPr>
        <w:t xml:space="preserve"> </w:t>
      </w:r>
      <w:r>
        <w:rPr>
          <w:spacing w:val="-4"/>
          <w:sz w:val="28"/>
        </w:rPr>
        <w:t>тему</w:t>
      </w:r>
      <w:r w:rsidR="00F332A1">
        <w:rPr>
          <w:sz w:val="28"/>
        </w:rPr>
        <w:t xml:space="preserve"> </w:t>
      </w:r>
      <w:r>
        <w:rPr>
          <w:spacing w:val="-2"/>
          <w:sz w:val="28"/>
        </w:rPr>
        <w:t>«Стан</w:t>
      </w:r>
      <w:r w:rsidR="00F332A1">
        <w:rPr>
          <w:sz w:val="28"/>
        </w:rPr>
        <w:t xml:space="preserve"> </w:t>
      </w:r>
      <w:r>
        <w:rPr>
          <w:spacing w:val="-2"/>
          <w:sz w:val="28"/>
        </w:rPr>
        <w:t>законодавчого</w:t>
      </w:r>
      <w:r w:rsidR="00F332A1">
        <w:rPr>
          <w:sz w:val="28"/>
        </w:rPr>
        <w:t xml:space="preserve"> </w:t>
      </w:r>
      <w:r>
        <w:rPr>
          <w:spacing w:val="-6"/>
          <w:sz w:val="28"/>
        </w:rPr>
        <w:t xml:space="preserve">та </w:t>
      </w:r>
      <w:r>
        <w:rPr>
          <w:sz w:val="28"/>
        </w:rPr>
        <w:t>нормативного забезпечення транскордонного співробітництва»</w:t>
      </w:r>
    </w:p>
    <w:p w:rsidR="00AF0936" w:rsidRDefault="007B42F7">
      <w:pPr>
        <w:pStyle w:val="a5"/>
        <w:numPr>
          <w:ilvl w:val="0"/>
          <w:numId w:val="5"/>
        </w:numPr>
        <w:tabs>
          <w:tab w:val="left" w:pos="885"/>
        </w:tabs>
        <w:spacing w:before="4"/>
        <w:ind w:left="885" w:hanging="359"/>
        <w:rPr>
          <w:sz w:val="28"/>
        </w:rPr>
      </w:pPr>
      <w:r>
        <w:rPr>
          <w:sz w:val="28"/>
        </w:rPr>
        <w:t>Основні</w:t>
      </w:r>
      <w:r>
        <w:rPr>
          <w:spacing w:val="-9"/>
          <w:sz w:val="28"/>
        </w:rPr>
        <w:t xml:space="preserve"> </w:t>
      </w:r>
      <w:r>
        <w:rPr>
          <w:sz w:val="28"/>
        </w:rPr>
        <w:t>параметри</w:t>
      </w:r>
      <w:r>
        <w:rPr>
          <w:spacing w:val="-7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ТК</w:t>
      </w:r>
    </w:p>
    <w:p w:rsidR="00AF0936" w:rsidRDefault="00AF0936">
      <w:pPr>
        <w:pStyle w:val="a3"/>
        <w:ind w:left="0"/>
        <w:jc w:val="left"/>
      </w:pPr>
    </w:p>
    <w:p w:rsidR="00AF0936" w:rsidRDefault="007B42F7" w:rsidP="0050106B">
      <w:pPr>
        <w:pStyle w:val="1"/>
        <w:numPr>
          <w:ilvl w:val="0"/>
          <w:numId w:val="6"/>
        </w:numPr>
        <w:tabs>
          <w:tab w:val="left" w:pos="885"/>
        </w:tabs>
        <w:spacing w:line="360" w:lineRule="auto"/>
        <w:jc w:val="both"/>
      </w:pPr>
      <w:r>
        <w:t>Нормативно-правове</w:t>
      </w:r>
      <w:r>
        <w:rPr>
          <w:spacing w:val="-11"/>
        </w:rPr>
        <w:t xml:space="preserve"> </w:t>
      </w:r>
      <w:r>
        <w:t>забезпечення</w:t>
      </w:r>
      <w:r>
        <w:rPr>
          <w:spacing w:val="-8"/>
        </w:rPr>
        <w:t xml:space="preserve"> </w:t>
      </w:r>
      <w:r>
        <w:t>ТКС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Україні</w:t>
      </w:r>
    </w:p>
    <w:p w:rsidR="00AF0936" w:rsidRDefault="007B42F7" w:rsidP="0050106B">
      <w:pPr>
        <w:pStyle w:val="a3"/>
        <w:spacing w:line="360" w:lineRule="auto"/>
        <w:ind w:left="0" w:firstLine="709"/>
      </w:pPr>
      <w:r>
        <w:t>Стан і динаміка євроінтеграційного поступу України свідчать, що транскордонне співробітництво в державі стає одним із важливих напрямів реалізації інтеграційної стратегії на регіональному рівні і посідає провідне місце у процесі формування і становлення но</w:t>
      </w:r>
      <w:r>
        <w:t>вої системи взаємовідносин із сусідніми державами в умовах формування і функціонування українсько- євросоюзівського комплексу прикордонної співпраці.</w:t>
      </w:r>
      <w:r w:rsidR="001236B3">
        <w:t xml:space="preserve"> </w:t>
      </w:r>
      <w:r>
        <w:t>Така система нових взаємовідносин вимагає від України адаптації законодавства до вимог Євросоюзу і його зм</w:t>
      </w:r>
      <w:r>
        <w:t xml:space="preserve">іни відповідно до нових геополітичних реалій. В першу чергу це врахування базового положення про те, що наша держава взаємодіє по кордонах не просто із одним із сусідів, коли діє двостороння договірна </w:t>
      </w:r>
      <w:r w:rsidR="001236B3">
        <w:t>нормативно-правова</w:t>
      </w:r>
      <w:r>
        <w:t xml:space="preserve"> основа взаємовідносин, а із сусідньою</w:t>
      </w:r>
      <w:r>
        <w:t xml:space="preserve"> державою-членом Євросоюзу, що вимагає відпрацювання нового блоку нормативного забезпечення взаємин з урахуванням нормативних положень не лише одного нашого сусіда, а всього євросоюзівського об’єднання.</w:t>
      </w:r>
      <w:r w:rsidR="001236B3">
        <w:t xml:space="preserve"> </w:t>
      </w:r>
      <w:r>
        <w:t>Саме це положення і є основним критерієм для внесення</w:t>
      </w:r>
      <w:r>
        <w:t xml:space="preserve"> відповідних змін у законодавство України, які б регулювали і узгоджували транскордонне співробітництво України в нових умовах.</w:t>
      </w:r>
      <w:r w:rsidR="001236B3">
        <w:t xml:space="preserve"> </w:t>
      </w:r>
      <w:r>
        <w:t>Але з урахуванням геополітичних змін в Європі, особливо після великих розширень ЄС</w:t>
      </w:r>
      <w:r>
        <w:t xml:space="preserve">, євроінтеграційний фактор ТКС став більш </w:t>
      </w:r>
      <w:r w:rsidR="00EB6CA8">
        <w:rPr>
          <w:spacing w:val="-2"/>
        </w:rPr>
        <w:t>акцентований.</w:t>
      </w:r>
      <w:r w:rsidR="00EB6CA8">
        <w:t xml:space="preserve"> </w:t>
      </w:r>
      <w:r>
        <w:t>В Україні нормативні ак</w:t>
      </w:r>
      <w:r>
        <w:t>ти, що регулюють будь-які відносини, поділяються за певною класифікацією, яка визначає місце норми в механізмі правового регулювання, тобто створено певну структуру юридичної значимості цих актів. На сьогодні система юридичних норм, тобто визначені джерела</w:t>
      </w:r>
      <w:r>
        <w:t>, що регулюють правове поле, зокрема у галузі транскордонного співробітництва, виглядає таким чином:</w:t>
      </w:r>
    </w:p>
    <w:p w:rsidR="00AF0936" w:rsidRDefault="007B42F7" w:rsidP="0050106B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lastRenderedPageBreak/>
        <w:t>Міжнародно-правові акти і угоди,</w:t>
      </w:r>
      <w:r>
        <w:rPr>
          <w:spacing w:val="-1"/>
          <w:sz w:val="28"/>
        </w:rPr>
        <w:t xml:space="preserve"> </w:t>
      </w:r>
      <w:r>
        <w:rPr>
          <w:sz w:val="28"/>
        </w:rPr>
        <w:t>підписані і ратифіковані 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установленому порядку в Україні.</w:t>
      </w:r>
    </w:p>
    <w:p w:rsidR="00AF0936" w:rsidRDefault="007B42F7" w:rsidP="0050106B">
      <w:pPr>
        <w:pStyle w:val="a5"/>
        <w:numPr>
          <w:ilvl w:val="0"/>
          <w:numId w:val="3"/>
        </w:numPr>
        <w:tabs>
          <w:tab w:val="left" w:pos="270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Закони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України.</w:t>
      </w:r>
    </w:p>
    <w:p w:rsidR="00AF0936" w:rsidRDefault="007B42F7" w:rsidP="0050106B">
      <w:pPr>
        <w:pStyle w:val="a5"/>
        <w:numPr>
          <w:ilvl w:val="0"/>
          <w:numId w:val="3"/>
        </w:numPr>
        <w:tabs>
          <w:tab w:val="left" w:pos="281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Підзаконні нормативно-правові акти. до яких належать нормативно-правові акти, підписані президентом та затверджені урядом України тощо.</w:t>
      </w:r>
    </w:p>
    <w:p w:rsidR="00AF0936" w:rsidRDefault="007B42F7" w:rsidP="0050106B">
      <w:pPr>
        <w:pStyle w:val="a5"/>
        <w:numPr>
          <w:ilvl w:val="0"/>
          <w:numId w:val="3"/>
        </w:numPr>
        <w:tabs>
          <w:tab w:val="left" w:pos="270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Підзаконні</w:t>
      </w:r>
      <w:r>
        <w:rPr>
          <w:spacing w:val="-6"/>
          <w:sz w:val="28"/>
        </w:rPr>
        <w:t xml:space="preserve"> </w:t>
      </w:r>
      <w:r>
        <w:rPr>
          <w:sz w:val="28"/>
        </w:rPr>
        <w:t>акти</w:t>
      </w:r>
      <w:r>
        <w:rPr>
          <w:spacing w:val="-6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рівня.</w:t>
      </w:r>
    </w:p>
    <w:p w:rsidR="00AF0936" w:rsidRDefault="007B42F7" w:rsidP="0050106B">
      <w:pPr>
        <w:pStyle w:val="a3"/>
        <w:spacing w:line="360" w:lineRule="auto"/>
        <w:ind w:left="0" w:firstLine="709"/>
      </w:pPr>
      <w:r>
        <w:rPr>
          <w:u w:val="single"/>
        </w:rPr>
        <w:t>Національне законодавство України</w:t>
      </w:r>
      <w:r>
        <w:t xml:space="preserve"> щодо транскордонного співробітництва включає насампер</w:t>
      </w:r>
      <w:r>
        <w:t>ед Закон України «Про транскордонне співробітництво», міжнародні угоди, конвенції, хартії, ратифіковані Україною, двосторонні та багатосторонні угоди, підписані Україною з сусідніми державами.</w:t>
      </w:r>
    </w:p>
    <w:p w:rsidR="00AF0936" w:rsidRDefault="007B42F7" w:rsidP="0050106B">
      <w:pPr>
        <w:pStyle w:val="a3"/>
        <w:spacing w:line="360" w:lineRule="auto"/>
        <w:ind w:left="0" w:firstLine="709"/>
      </w:pPr>
      <w:r>
        <w:t>Розглянемо основні аспекти базового закону, який регулює транск</w:t>
      </w:r>
      <w:r>
        <w:t xml:space="preserve">ордонне співробітництво України. Так, Закон України «Про транскордонне співробітництво» (№1861-IV) був ухвалений Верховною Радою України </w:t>
      </w:r>
      <w:r w:rsidR="0050106B">
        <w:t xml:space="preserve">   </w:t>
      </w:r>
      <w:r>
        <w:t>РОЗДІЛ 1. Нормативно-правові та методологічні засади транскордонного співробітництва - 12 - 24 червня 2004 року. Він бу</w:t>
      </w:r>
      <w:r>
        <w:t>в прийнятий з метою регулювання процесів укладання</w:t>
      </w:r>
      <w:r w:rsidR="00EB6CA8">
        <w:t xml:space="preserve"> </w:t>
      </w:r>
      <w:r>
        <w:t>органами місцевого самоврядування та місцевими органами виконавчої влади угод про транскордонне співробітництво і їх практичної реалізації. Положення цього закону визначають основний зміст транскордонного с</w:t>
      </w:r>
      <w:r>
        <w:t>півробітництва України.</w:t>
      </w:r>
    </w:p>
    <w:p w:rsidR="00AF0936" w:rsidRDefault="007B42F7" w:rsidP="0050106B">
      <w:pPr>
        <w:pStyle w:val="a3"/>
        <w:spacing w:line="360" w:lineRule="auto"/>
        <w:ind w:left="0" w:firstLine="709"/>
      </w:pPr>
      <w:r>
        <w:t>Відповідно до Закону України «Про транскордонне співробітництво»</w:t>
      </w:r>
      <w:r>
        <w:rPr>
          <w:spacing w:val="80"/>
        </w:rPr>
        <w:t xml:space="preserve"> </w:t>
      </w:r>
      <w:r>
        <w:t xml:space="preserve">поняття «транскордонне співробітництво» визначено як спільні дії, спрямовані на встановлення і поглиблення економічних, соціальних, </w:t>
      </w:r>
      <w:r w:rsidR="00EB6CA8">
        <w:t>науково-технічних</w:t>
      </w:r>
      <w:r>
        <w:t>, екологічних, культурних та інших відносин між територіальними громадами, їх представницькими органами, міс</w:t>
      </w:r>
      <w:r>
        <w:t>цевими органами виконавчої влади України та територіальними громадами, відповідними органами влади інших держав у межах компетенції, визначеної їх національним законодавством.</w:t>
      </w:r>
    </w:p>
    <w:p w:rsidR="00AF0936" w:rsidRDefault="007B42F7" w:rsidP="0050106B">
      <w:pPr>
        <w:pStyle w:val="a3"/>
        <w:spacing w:line="360" w:lineRule="auto"/>
        <w:ind w:left="0" w:firstLine="709"/>
      </w:pPr>
      <w:r>
        <w:t>Саме цим законом врегульовано правові, організаційні та економічні</w:t>
      </w:r>
      <w:r>
        <w:rPr>
          <w:spacing w:val="-1"/>
        </w:rPr>
        <w:t xml:space="preserve"> </w:t>
      </w:r>
      <w:r>
        <w:t>питання розви</w:t>
      </w:r>
      <w:r>
        <w:t>тку транскордонного співробітництва, а також питання його державної фінансової підтримки.</w:t>
      </w:r>
    </w:p>
    <w:p w:rsidR="00AF0936" w:rsidRPr="00FA2B84" w:rsidRDefault="00FA2B84" w:rsidP="00FA2B84">
      <w:pPr>
        <w:tabs>
          <w:tab w:val="left" w:pos="312"/>
        </w:tabs>
        <w:spacing w:line="360" w:lineRule="auto"/>
        <w:rPr>
          <w:b/>
          <w:i/>
          <w:sz w:val="26"/>
          <w:u w:val="single"/>
        </w:rPr>
      </w:pPr>
      <w:r>
        <w:rPr>
          <w:b/>
          <w:i/>
          <w:sz w:val="28"/>
          <w:u w:val="single"/>
        </w:rPr>
        <w:t xml:space="preserve">2. </w:t>
      </w:r>
      <w:r w:rsidR="007B42F7" w:rsidRPr="00FA2B84">
        <w:rPr>
          <w:b/>
          <w:i/>
          <w:sz w:val="28"/>
          <w:u w:val="single"/>
        </w:rPr>
        <w:t>Особливість Закону України «Про транскордонне співробітництво</w:t>
      </w:r>
      <w:r w:rsidR="007B42F7" w:rsidRPr="00FA2B84">
        <w:rPr>
          <w:sz w:val="28"/>
        </w:rPr>
        <w:t>» полягає у тому, що він визначає завдання, принципи державної політики, права й обов’язки суб’єктів у сф</w:t>
      </w:r>
      <w:r w:rsidR="007B42F7" w:rsidRPr="00FA2B84">
        <w:rPr>
          <w:sz w:val="28"/>
        </w:rPr>
        <w:t xml:space="preserve">ері транскордонного співробітництва, принципи й форми </w:t>
      </w:r>
      <w:r w:rsidR="007B42F7" w:rsidRPr="00FA2B84">
        <w:rPr>
          <w:sz w:val="28"/>
        </w:rPr>
        <w:lastRenderedPageBreak/>
        <w:t>державної підтримки, фінансові ресурси для транскордонної співпраці.</w:t>
      </w:r>
    </w:p>
    <w:p w:rsidR="00AF0936" w:rsidRDefault="007B42F7" w:rsidP="0050106B">
      <w:pPr>
        <w:pStyle w:val="a3"/>
        <w:spacing w:line="360" w:lineRule="auto"/>
        <w:ind w:left="0" w:firstLine="709"/>
      </w:pPr>
      <w:r>
        <w:t>Надзвичайно важливим є той факт, що подібного закону, який би регулював транскордонне</w:t>
      </w:r>
      <w:r>
        <w:rPr>
          <w:spacing w:val="40"/>
        </w:rPr>
        <w:t xml:space="preserve"> </w:t>
      </w:r>
      <w:r>
        <w:t>співробітництво,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має</w:t>
      </w:r>
      <w:r>
        <w:rPr>
          <w:spacing w:val="40"/>
        </w:rPr>
        <w:t xml:space="preserve"> </w:t>
      </w:r>
      <w:r>
        <w:t>жодна</w:t>
      </w:r>
      <w:r>
        <w:rPr>
          <w:spacing w:val="40"/>
        </w:rPr>
        <w:t xml:space="preserve"> </w:t>
      </w:r>
      <w:r>
        <w:t>з</w:t>
      </w:r>
      <w:r>
        <w:rPr>
          <w:spacing w:val="40"/>
        </w:rPr>
        <w:t xml:space="preserve"> </w:t>
      </w:r>
      <w:r>
        <w:t>країн</w:t>
      </w:r>
      <w:r>
        <w:rPr>
          <w:spacing w:val="40"/>
        </w:rPr>
        <w:t xml:space="preserve"> </w:t>
      </w:r>
      <w:r>
        <w:t>Європи,</w:t>
      </w:r>
      <w:r>
        <w:rPr>
          <w:spacing w:val="40"/>
        </w:rPr>
        <w:t xml:space="preserve"> </w:t>
      </w:r>
      <w:r>
        <w:t>я</w:t>
      </w:r>
      <w:r>
        <w:t>кі,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свою</w:t>
      </w:r>
      <w:r w:rsidR="0050106B">
        <w:t xml:space="preserve"> </w:t>
      </w:r>
      <w:r w:rsidR="00EB6CA8">
        <w:t xml:space="preserve">чергу </w:t>
      </w:r>
      <w:r>
        <w:t xml:space="preserve">керуються в цьому питанні положеннями Мадридської конвенції </w:t>
      </w:r>
      <w:r w:rsidR="0050106B">
        <w:t xml:space="preserve"> </w:t>
      </w:r>
      <w:r>
        <w:t>1980</w:t>
      </w:r>
      <w:r>
        <w:rPr>
          <w:spacing w:val="40"/>
        </w:rPr>
        <w:t xml:space="preserve"> </w:t>
      </w:r>
      <w:r>
        <w:rPr>
          <w:spacing w:val="-6"/>
        </w:rPr>
        <w:t>р.</w:t>
      </w:r>
    </w:p>
    <w:p w:rsidR="00AF0936" w:rsidRDefault="007B42F7" w:rsidP="0050106B">
      <w:pPr>
        <w:pStyle w:val="a3"/>
        <w:spacing w:line="360" w:lineRule="auto"/>
        <w:ind w:left="0" w:firstLine="709"/>
      </w:pPr>
      <w:r>
        <w:t xml:space="preserve">У Законі України «Про транскордонне співробітництво» також враховані геополітичні зміни, які відбулися внаслідок розширення ЄС на Схід в 2004 </w:t>
      </w:r>
      <w:r>
        <w:rPr>
          <w:spacing w:val="-2"/>
        </w:rPr>
        <w:t>році.</w:t>
      </w:r>
    </w:p>
    <w:p w:rsidR="00AF0936" w:rsidRDefault="007B42F7" w:rsidP="0050106B">
      <w:pPr>
        <w:pStyle w:val="a3"/>
        <w:spacing w:line="360" w:lineRule="auto"/>
        <w:ind w:left="0" w:firstLine="709"/>
      </w:pPr>
      <w:r>
        <w:t>Проте не можна оминути і негативні аспекти закону. По-перше, цей</w:t>
      </w:r>
      <w:r>
        <w:rPr>
          <w:spacing w:val="80"/>
        </w:rPr>
        <w:t xml:space="preserve"> </w:t>
      </w:r>
      <w:r>
        <w:t>документ не розглядає транскордонне співробітництво як складову регіональної політики України. Іншим негативним фактором є те, що він не враховує зміну механізмів підтримки транскордонного сп</w:t>
      </w:r>
      <w:r>
        <w:t xml:space="preserve">івробітництва з боку ЄС, особливо нові інструменти партнерства і програми (FARE, TACІS, ІNTERREG). </w:t>
      </w:r>
      <w:r w:rsidR="00EB6CA8">
        <w:t>По-друге</w:t>
      </w:r>
      <w:r>
        <w:t>, він містить суперечливі правові норми в частині, що регулює різні питання участі місцевих органів влади у міжрегіональному та транскордонному співро</w:t>
      </w:r>
      <w:r>
        <w:t>бітництві.</w:t>
      </w:r>
    </w:p>
    <w:p w:rsidR="00AF0936" w:rsidRDefault="007B42F7" w:rsidP="0050106B">
      <w:pPr>
        <w:pStyle w:val="a3"/>
        <w:spacing w:line="360" w:lineRule="auto"/>
        <w:ind w:left="0" w:firstLine="709"/>
      </w:pPr>
      <w:r>
        <w:t>Оцінюючи місце Закону «Про транскордонне співробітництво» у розбудові політики регіонального розвитку в Україні, варто звернути увагу на його неоднозначну оцінку експертами.</w:t>
      </w:r>
    </w:p>
    <w:p w:rsidR="00AF0936" w:rsidRDefault="007B42F7" w:rsidP="0050106B">
      <w:pPr>
        <w:pStyle w:val="a3"/>
        <w:spacing w:line="360" w:lineRule="auto"/>
        <w:ind w:left="0" w:firstLine="709"/>
      </w:pPr>
      <w:r>
        <w:rPr>
          <w:b/>
        </w:rPr>
        <w:t>По-перше</w:t>
      </w:r>
      <w:r>
        <w:t>, розробникам закону не вдалося подолати погляд на транскордонн</w:t>
      </w:r>
      <w:r>
        <w:t>е співробітництво як інструмент переважно економічної співпраці. Зокрема, загальну координацію транскордонного співробітництва законом покладено на спеціально уповноважений центральний орган виконавчої влади з питань економічної політики. При розробленні з</w:t>
      </w:r>
      <w:r>
        <w:t xml:space="preserve">акону не було враховано того факту, що транскордонне співробітництво є більш широким поняттям, яке </w:t>
      </w:r>
      <w:r w:rsidR="00EB6CA8">
        <w:t>охоплює не</w:t>
      </w:r>
      <w:r>
        <w:t xml:space="preserve"> лише економічну співпрацю, а й багато інших аспектів життєдіяльності мешканців прикордоння.</w:t>
      </w:r>
    </w:p>
    <w:p w:rsidR="00AF0936" w:rsidRDefault="007B42F7" w:rsidP="0050106B">
      <w:pPr>
        <w:pStyle w:val="a3"/>
        <w:spacing w:line="360" w:lineRule="auto"/>
        <w:ind w:left="0" w:firstLine="709"/>
      </w:pPr>
      <w:r>
        <w:rPr>
          <w:b/>
        </w:rPr>
        <w:t>По-друге</w:t>
      </w:r>
      <w:r>
        <w:t xml:space="preserve">, зазначений закон законсервував існуючі форми </w:t>
      </w:r>
      <w:r>
        <w:t>державної фінансової підтримки транскордонного співробітництва, а точніше її відсутність. У ньому не визначаються джерела та механізм надання такої підтримки з боку держави. Слід зазначити, що сьогодні проекти і програми транскордонного співробітництва, як</w:t>
      </w:r>
      <w:r>
        <w:t>і здійснюються у прикордонних</w:t>
      </w:r>
      <w:r>
        <w:rPr>
          <w:spacing w:val="40"/>
        </w:rPr>
        <w:t xml:space="preserve"> </w:t>
      </w:r>
      <w:r>
        <w:t>регіонах України, фінансуються здебільшого міжнародними донорами.</w:t>
      </w:r>
    </w:p>
    <w:p w:rsidR="00AF0936" w:rsidRDefault="007B42F7" w:rsidP="0050106B">
      <w:pPr>
        <w:pStyle w:val="a3"/>
        <w:spacing w:line="360" w:lineRule="auto"/>
        <w:ind w:left="0" w:firstLine="709"/>
      </w:pPr>
      <w:r>
        <w:t>На сучасному</w:t>
      </w:r>
      <w:r>
        <w:rPr>
          <w:spacing w:val="-2"/>
        </w:rPr>
        <w:t xml:space="preserve"> </w:t>
      </w:r>
      <w:r>
        <w:t>етапі Верховною Радою</w:t>
      </w:r>
      <w:r>
        <w:rPr>
          <w:spacing w:val="-2"/>
        </w:rPr>
        <w:t xml:space="preserve"> </w:t>
      </w:r>
      <w:r>
        <w:t xml:space="preserve">України були зроблені деякі </w:t>
      </w:r>
      <w:r>
        <w:lastRenderedPageBreak/>
        <w:t>позитивні кроки у напрямі вдосконалення базового закону про транскордонне співробітництво. Нагада</w:t>
      </w:r>
      <w:r>
        <w:t>ємо, що 21.01.2010 р. був ухвалений закон «Про внесення змін до Закону України «Про транскордонне співробітництво».</w:t>
      </w:r>
    </w:p>
    <w:p w:rsidR="00AF0936" w:rsidRDefault="007B42F7" w:rsidP="0050106B">
      <w:pPr>
        <w:pStyle w:val="a3"/>
        <w:spacing w:line="360" w:lineRule="auto"/>
        <w:ind w:left="0" w:firstLine="709"/>
      </w:pPr>
      <w:r>
        <w:t>Законом вносяться зміни до низки статей, де визначаються повноваження спеціально уповноваженого центрального органу виконавчої влади з питан</w:t>
      </w:r>
      <w:r>
        <w:t>ь регіональної політики (Міністерства регіональної політики та будівництва), спеціально уповноваженого центрального органу виконавчої влади з питань</w:t>
      </w:r>
    </w:p>
    <w:p w:rsidR="00AF0936" w:rsidRDefault="007B42F7" w:rsidP="0050106B">
      <w:pPr>
        <w:pStyle w:val="a3"/>
        <w:spacing w:line="360" w:lineRule="auto"/>
        <w:ind w:left="0"/>
      </w:pPr>
      <w:r>
        <w:t>економічної</w:t>
      </w:r>
      <w:r>
        <w:rPr>
          <w:spacing w:val="-1"/>
        </w:rPr>
        <w:t xml:space="preserve"> </w:t>
      </w:r>
      <w:r>
        <w:t>політики та Міністерства закордонних справ України у</w:t>
      </w:r>
      <w:r>
        <w:rPr>
          <w:spacing w:val="-3"/>
        </w:rPr>
        <w:t xml:space="preserve"> </w:t>
      </w:r>
      <w:r>
        <w:t>питаннях транскордонного</w:t>
      </w:r>
      <w:r>
        <w:t xml:space="preserve"> співробітництва.</w:t>
      </w:r>
    </w:p>
    <w:p w:rsidR="00AF0936" w:rsidRDefault="00FA2B84" w:rsidP="00FA2B84">
      <w:pPr>
        <w:pStyle w:val="1"/>
        <w:tabs>
          <w:tab w:val="left" w:pos="312"/>
          <w:tab w:val="left" w:pos="2255"/>
          <w:tab w:val="left" w:pos="4220"/>
          <w:tab w:val="left" w:pos="4877"/>
          <w:tab w:val="left" w:pos="5827"/>
          <w:tab w:val="left" w:pos="6966"/>
          <w:tab w:val="left" w:pos="9173"/>
        </w:tabs>
        <w:spacing w:line="360" w:lineRule="auto"/>
        <w:jc w:val="both"/>
        <w:rPr>
          <w:sz w:val="26"/>
        </w:rPr>
      </w:pPr>
      <w:r>
        <w:rPr>
          <w:spacing w:val="-2"/>
        </w:rPr>
        <w:t xml:space="preserve">3. </w:t>
      </w:r>
      <w:r w:rsidR="007B42F7">
        <w:rPr>
          <w:spacing w:val="-2"/>
        </w:rPr>
        <w:t>Міжнародна</w:t>
      </w:r>
      <w:r w:rsidR="007B42F7">
        <w:tab/>
      </w:r>
      <w:r w:rsidR="007B42F7">
        <w:rPr>
          <w:spacing w:val="-2"/>
        </w:rPr>
        <w:t>конференція</w:t>
      </w:r>
      <w:r w:rsidR="007B42F7">
        <w:tab/>
      </w:r>
      <w:r w:rsidR="007B42F7">
        <w:rPr>
          <w:spacing w:val="-6"/>
        </w:rPr>
        <w:t>на</w:t>
      </w:r>
      <w:r w:rsidR="007B42F7">
        <w:tab/>
      </w:r>
      <w:r w:rsidR="007B42F7">
        <w:rPr>
          <w:spacing w:val="-4"/>
        </w:rPr>
        <w:t>тему</w:t>
      </w:r>
      <w:r w:rsidR="007B42F7">
        <w:tab/>
      </w:r>
      <w:r w:rsidR="007B42F7">
        <w:rPr>
          <w:spacing w:val="-2"/>
        </w:rPr>
        <w:t>«Стан</w:t>
      </w:r>
      <w:r w:rsidR="007B42F7">
        <w:tab/>
      </w:r>
      <w:r w:rsidR="007B42F7">
        <w:rPr>
          <w:spacing w:val="-2"/>
        </w:rPr>
        <w:t>законодавчого</w:t>
      </w:r>
      <w:r w:rsidR="007B42F7">
        <w:tab/>
      </w:r>
      <w:r w:rsidR="007B42F7">
        <w:rPr>
          <w:spacing w:val="-6"/>
        </w:rPr>
        <w:t>та</w:t>
      </w:r>
      <w:r w:rsidR="007B42F7">
        <w:rPr>
          <w:spacing w:val="-6"/>
          <w:u w:val="none"/>
        </w:rPr>
        <w:t xml:space="preserve"> </w:t>
      </w:r>
      <w:r w:rsidR="007B42F7">
        <w:t>нормативного забезпечення транскордонного співробітництва»</w:t>
      </w:r>
    </w:p>
    <w:p w:rsidR="00AF0936" w:rsidRDefault="007B42F7" w:rsidP="0050106B">
      <w:pPr>
        <w:pStyle w:val="a3"/>
        <w:spacing w:line="360" w:lineRule="auto"/>
        <w:ind w:left="0" w:firstLine="709"/>
      </w:pPr>
      <w:r>
        <w:t xml:space="preserve">Наступним кроком у цьому напрямі, проте вже на міжнародному рівні, було проведення </w:t>
      </w:r>
      <w:r>
        <w:t>у Києві міжнародної конференції на тему «Стан законодавчого та нормативного забезпечення транскордонного співробітництва». Учасниками конференції стали провід</w:t>
      </w:r>
      <w:r>
        <w:t>ні фахівці та експерти країн ЄС, а саме Нідерландів, Польщі, Словаччини,Угорщини і Румунії, а також Молдови та України.</w:t>
      </w:r>
    </w:p>
    <w:p w:rsidR="00AF0936" w:rsidRDefault="007B42F7" w:rsidP="0050106B">
      <w:pPr>
        <w:pStyle w:val="a3"/>
        <w:spacing w:line="360" w:lineRule="auto"/>
        <w:ind w:left="0" w:firstLine="709"/>
      </w:pPr>
      <w:r>
        <w:t>Підсумком конференції було оприлюднення рекомендацій Верховній Раді України, Кабінету Міністрів України, народним депутатам, органам місцевої влади, міжнародним та громадським організаціям, зокрема:</w:t>
      </w:r>
    </w:p>
    <w:p w:rsidR="00AF0936" w:rsidRPr="0050106B" w:rsidRDefault="007B42F7" w:rsidP="0050106B">
      <w:pPr>
        <w:pStyle w:val="a5"/>
        <w:numPr>
          <w:ilvl w:val="1"/>
          <w:numId w:val="4"/>
        </w:numPr>
        <w:tabs>
          <w:tab w:val="left" w:pos="821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Регулярно та з певною періодичністю проводити заходи з ви</w:t>
      </w:r>
      <w:r>
        <w:rPr>
          <w:sz w:val="28"/>
        </w:rPr>
        <w:t xml:space="preserve">рішення проблем транскордонного співробітництва в Україні. Зокрема, щорічно на базі Комітету Верховної Ради України з питань європейської інтеграції, за участю представників уряду, міжнародних організацій та </w:t>
      </w:r>
      <w:r>
        <w:rPr>
          <w:spacing w:val="-2"/>
          <w:sz w:val="28"/>
        </w:rPr>
        <w:t>громадськості.</w:t>
      </w:r>
    </w:p>
    <w:p w:rsidR="00AF0936" w:rsidRPr="0050106B" w:rsidRDefault="007B42F7" w:rsidP="0050106B">
      <w:pPr>
        <w:pStyle w:val="a5"/>
        <w:numPr>
          <w:ilvl w:val="1"/>
          <w:numId w:val="4"/>
        </w:numPr>
        <w:tabs>
          <w:tab w:val="left" w:pos="821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Громадським організаціям, експер</w:t>
      </w:r>
      <w:r>
        <w:rPr>
          <w:sz w:val="28"/>
        </w:rPr>
        <w:t>там та фахівцям-практикам подавати свої пропозиції щодо внесення змін та доповнень до тих чи інших нормативно-правових документів, не очікуючи проведення конференційних чи семінарських заходів, а в міру виникнення проблем та ідей щодо шляхів їх розв’язання</w:t>
      </w:r>
      <w:r>
        <w:rPr>
          <w:sz w:val="28"/>
        </w:rPr>
        <w:t>.</w:t>
      </w:r>
    </w:p>
    <w:p w:rsidR="00AF0936" w:rsidRPr="0050106B" w:rsidRDefault="007B42F7" w:rsidP="0050106B">
      <w:pPr>
        <w:pStyle w:val="a5"/>
        <w:numPr>
          <w:ilvl w:val="1"/>
          <w:numId w:val="4"/>
        </w:numPr>
        <w:tabs>
          <w:tab w:val="left" w:pos="821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Кабінету</w:t>
      </w:r>
      <w:r>
        <w:rPr>
          <w:spacing w:val="-4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 здійснювати координаційні,</w:t>
      </w:r>
      <w:r>
        <w:rPr>
          <w:spacing w:val="-1"/>
          <w:sz w:val="28"/>
        </w:rPr>
        <w:t xml:space="preserve"> </w:t>
      </w:r>
      <w:r>
        <w:rPr>
          <w:sz w:val="28"/>
        </w:rPr>
        <w:t>планувальні та організаційні заходи через відповідний підрозділ Міністерства економіки, у тому числі щодо діяльності інших структур центральних органів виконавчої влади.</w:t>
      </w:r>
    </w:p>
    <w:p w:rsidR="00AF0936" w:rsidRPr="0050106B" w:rsidRDefault="007B42F7" w:rsidP="0050106B">
      <w:pPr>
        <w:pStyle w:val="a5"/>
        <w:numPr>
          <w:ilvl w:val="1"/>
          <w:numId w:val="4"/>
        </w:numPr>
        <w:tabs>
          <w:tab w:val="left" w:pos="821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lastRenderedPageBreak/>
        <w:t>Органам місцевого та регіона</w:t>
      </w:r>
      <w:r>
        <w:rPr>
          <w:sz w:val="28"/>
        </w:rPr>
        <w:t>льного самоврядування рішеннями рад запроваджувати програми розвитку транскордонного співробітництва і підтримки ініціатив самостійно та автономно.</w:t>
      </w:r>
    </w:p>
    <w:p w:rsidR="00AF0936" w:rsidRPr="0050106B" w:rsidRDefault="007B42F7" w:rsidP="0050106B">
      <w:pPr>
        <w:pStyle w:val="a5"/>
        <w:numPr>
          <w:ilvl w:val="1"/>
          <w:numId w:val="4"/>
        </w:numPr>
        <w:tabs>
          <w:tab w:val="left" w:pos="821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Міністерству закордонних справ України провести переговори про можливі розширення прикордонних зон на терит</w:t>
      </w:r>
      <w:r>
        <w:rPr>
          <w:sz w:val="28"/>
        </w:rPr>
        <w:t xml:space="preserve">орії України для збільшення територіальної дії малого прикордонного руху для зменшення впливу візового режиму на розвиток транскордонної </w:t>
      </w:r>
      <w:r>
        <w:rPr>
          <w:spacing w:val="-2"/>
          <w:sz w:val="28"/>
        </w:rPr>
        <w:t>співпраці.</w:t>
      </w:r>
    </w:p>
    <w:p w:rsidR="00AF0936" w:rsidRDefault="007B42F7" w:rsidP="0050106B">
      <w:pPr>
        <w:pStyle w:val="a5"/>
        <w:numPr>
          <w:ilvl w:val="1"/>
          <w:numId w:val="4"/>
        </w:numPr>
        <w:tabs>
          <w:tab w:val="left" w:pos="821"/>
          <w:tab w:val="left" w:pos="889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Ініціювати</w:t>
      </w:r>
      <w:r>
        <w:rPr>
          <w:spacing w:val="-4"/>
          <w:sz w:val="28"/>
        </w:rPr>
        <w:t xml:space="preserve"> </w:t>
      </w:r>
      <w:r>
        <w:rPr>
          <w:sz w:val="28"/>
        </w:rPr>
        <w:t>парламентські</w:t>
      </w:r>
      <w:r>
        <w:rPr>
          <w:spacing w:val="-4"/>
          <w:sz w:val="28"/>
        </w:rPr>
        <w:t xml:space="preserve"> </w:t>
      </w:r>
      <w:r>
        <w:rPr>
          <w:sz w:val="28"/>
        </w:rPr>
        <w:t>слухання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транскордонного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співробітництва </w:t>
      </w:r>
      <w:r>
        <w:rPr>
          <w:sz w:val="28"/>
        </w:rPr>
        <w:t>та підведення підсумків діючої програми, термін дії якої закінчується цього року.</w:t>
      </w:r>
    </w:p>
    <w:p w:rsidR="00AF0936" w:rsidRDefault="007B42F7" w:rsidP="0050106B">
      <w:pPr>
        <w:pStyle w:val="a3"/>
        <w:spacing w:line="360" w:lineRule="auto"/>
        <w:ind w:left="0" w:firstLine="709"/>
      </w:pPr>
      <w:r>
        <w:t xml:space="preserve">Метою Програми є активізація розвитку </w:t>
      </w:r>
      <w:r w:rsidR="00AF6CFB">
        <w:t>соціально-економічних</w:t>
      </w:r>
      <w:r>
        <w:t>, науково- технічних, екологічних, культурних та інших зв’язків між суб’єктами транскордонного співробітництва.</w:t>
      </w:r>
    </w:p>
    <w:p w:rsidR="00AF0936" w:rsidRDefault="007B42F7" w:rsidP="0050106B">
      <w:pPr>
        <w:pStyle w:val="a3"/>
        <w:spacing w:line="360" w:lineRule="auto"/>
        <w:ind w:left="0" w:firstLine="709"/>
      </w:pPr>
      <w:r>
        <w:t>Практична цінність названого докум</w:t>
      </w:r>
      <w:r>
        <w:t>ента обумовлена напрацюванням можливих варіантів розв’язання актуальних проблем розвитку транскордонного співробітництва. Нею також визначені можливі джерела фінансування транскордонного співробітництва.</w:t>
      </w:r>
    </w:p>
    <w:p w:rsidR="00AF0936" w:rsidRDefault="007B42F7" w:rsidP="0050106B">
      <w:pPr>
        <w:pStyle w:val="a3"/>
        <w:spacing w:line="360" w:lineRule="auto"/>
        <w:ind w:left="0" w:firstLine="709"/>
      </w:pPr>
      <w:r>
        <w:t>Не менш важливими у регулюванні транскордонного спів</w:t>
      </w:r>
      <w:r>
        <w:t>робітництва України з державами-членами ЄС є стратегічні документи, які визначають основні аспекти євроінтеграційного курсу України. В першу чергу – це Стратегія</w:t>
      </w:r>
      <w:r>
        <w:rPr>
          <w:spacing w:val="-2"/>
        </w:rPr>
        <w:t xml:space="preserve"> </w:t>
      </w:r>
      <w:r>
        <w:t>інтеграції</w:t>
      </w:r>
      <w:r>
        <w:rPr>
          <w:spacing w:val="-2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до Європейського Союзу,</w:t>
      </w:r>
      <w:r>
        <w:rPr>
          <w:spacing w:val="-1"/>
        </w:rPr>
        <w:t xml:space="preserve"> </w:t>
      </w:r>
      <w:r>
        <w:t>Національна</w:t>
      </w:r>
      <w:r>
        <w:rPr>
          <w:spacing w:val="-3"/>
        </w:rPr>
        <w:t xml:space="preserve"> </w:t>
      </w:r>
      <w:r>
        <w:t>програма інтеграції України до Європейс</w:t>
      </w:r>
      <w:r>
        <w:t>ького Союзу, План дій Україна-ЄС, рішення і резолюції щорічних самітів Україна-ЄС та інші документи.</w:t>
      </w:r>
    </w:p>
    <w:p w:rsidR="00AF0936" w:rsidRDefault="007B42F7" w:rsidP="0050106B">
      <w:pPr>
        <w:pStyle w:val="a3"/>
        <w:spacing w:line="360" w:lineRule="auto"/>
        <w:ind w:left="0" w:firstLine="709"/>
      </w:pPr>
      <w:r>
        <w:t xml:space="preserve">Важливо підкреслити, що після розширення ЄС </w:t>
      </w:r>
      <w:r>
        <w:t>Європейський Союз працює із сусідніми країнами (включно і з Україною) в рамках нового напряму зовні</w:t>
      </w:r>
      <w:r>
        <w:t xml:space="preserve">шньої політики – Європейської політики сусідства (ЄПС), яка не надає і не визначає навіть майбутнє членство країни в ЄС, проте саме на регіональному та міжрегіональному рівнях пропонує сусіднім країнам привілейовані відносини з ЄС. </w:t>
      </w:r>
      <w:r w:rsidR="00AF6CFB">
        <w:t xml:space="preserve">Відповідно </w:t>
      </w:r>
      <w:r>
        <w:t>до Європейської політики сусідства,</w:t>
      </w:r>
      <w:r>
        <w:rPr>
          <w:spacing w:val="-1"/>
        </w:rPr>
        <w:t xml:space="preserve"> </w:t>
      </w:r>
      <w:r>
        <w:t>Європейська</w:t>
      </w:r>
      <w:r>
        <w:rPr>
          <w:spacing w:val="-1"/>
        </w:rPr>
        <w:t xml:space="preserve"> </w:t>
      </w:r>
      <w:r>
        <w:t>Комісія змінила підходи щодо надання</w:t>
      </w:r>
      <w:r>
        <w:rPr>
          <w:spacing w:val="-1"/>
        </w:rPr>
        <w:t xml:space="preserve"> </w:t>
      </w:r>
      <w:r>
        <w:t>фінансової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технічної</w:t>
      </w:r>
      <w:r>
        <w:rPr>
          <w:spacing w:val="-2"/>
        </w:rPr>
        <w:t xml:space="preserve"> </w:t>
      </w:r>
      <w:r>
        <w:t>допомоги</w:t>
      </w:r>
      <w:r>
        <w:rPr>
          <w:spacing w:val="-1"/>
        </w:rPr>
        <w:t xml:space="preserve"> </w:t>
      </w:r>
      <w:r>
        <w:t>країнам-сусідам</w:t>
      </w:r>
      <w:r>
        <w:rPr>
          <w:spacing w:val="-2"/>
        </w:rPr>
        <w:t xml:space="preserve"> </w:t>
      </w:r>
      <w:r>
        <w:t>ЄС.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 xml:space="preserve">це означає, що замість попередньої програми TACIS вона отримує від ЄС допомогу в рамках Європейського інструменту сусідства та </w:t>
      </w:r>
      <w:r>
        <w:lastRenderedPageBreak/>
        <w:t>партнерства. В цьому контексті питання фінансової допомоги сконцентровані у рапортах Європейської</w:t>
      </w:r>
      <w:r>
        <w:rPr>
          <w:spacing w:val="-1"/>
        </w:rPr>
        <w:t xml:space="preserve"> </w:t>
      </w:r>
      <w:r>
        <w:t>Комісії,</w:t>
      </w:r>
      <w:r>
        <w:rPr>
          <w:spacing w:val="-2"/>
        </w:rPr>
        <w:t xml:space="preserve"> </w:t>
      </w:r>
      <w:r>
        <w:t>опрацювання</w:t>
      </w:r>
      <w:r>
        <w:rPr>
          <w:spacing w:val="-1"/>
        </w:rPr>
        <w:t xml:space="preserve"> </w:t>
      </w:r>
      <w:r>
        <w:t>яких</w:t>
      </w:r>
      <w:r>
        <w:rPr>
          <w:spacing w:val="-1"/>
        </w:rPr>
        <w:t xml:space="preserve"> </w:t>
      </w:r>
      <w:r>
        <w:t>дає</w:t>
      </w:r>
      <w:r>
        <w:rPr>
          <w:spacing w:val="-2"/>
        </w:rPr>
        <w:t xml:space="preserve"> </w:t>
      </w:r>
      <w:r>
        <w:t>м</w:t>
      </w:r>
      <w:r>
        <w:t>ожливість</w:t>
      </w:r>
      <w:r>
        <w:rPr>
          <w:spacing w:val="-3"/>
        </w:rPr>
        <w:t xml:space="preserve"> </w:t>
      </w:r>
      <w:r>
        <w:t>з’ясувати,</w:t>
      </w:r>
      <w:r>
        <w:rPr>
          <w:spacing w:val="-2"/>
        </w:rPr>
        <w:t xml:space="preserve"> </w:t>
      </w:r>
      <w:r>
        <w:t>наскільки регіональна</w:t>
      </w:r>
      <w:r>
        <w:rPr>
          <w:spacing w:val="80"/>
          <w:w w:val="150"/>
        </w:rPr>
        <w:t xml:space="preserve">  </w:t>
      </w:r>
      <w:r>
        <w:t>політика</w:t>
      </w:r>
      <w:r>
        <w:rPr>
          <w:spacing w:val="80"/>
          <w:w w:val="150"/>
        </w:rPr>
        <w:t xml:space="preserve">  </w:t>
      </w:r>
      <w:r>
        <w:t>і,</w:t>
      </w:r>
      <w:r>
        <w:rPr>
          <w:spacing w:val="80"/>
          <w:w w:val="150"/>
        </w:rPr>
        <w:t xml:space="preserve">  </w:t>
      </w:r>
      <w:r>
        <w:t>зокрема,</w:t>
      </w:r>
      <w:r>
        <w:rPr>
          <w:spacing w:val="80"/>
          <w:w w:val="150"/>
        </w:rPr>
        <w:t xml:space="preserve">  </w:t>
      </w:r>
      <w:r>
        <w:t>транскордонне</w:t>
      </w:r>
      <w:r>
        <w:rPr>
          <w:spacing w:val="80"/>
          <w:w w:val="150"/>
        </w:rPr>
        <w:t xml:space="preserve">  </w:t>
      </w:r>
      <w:r>
        <w:t>співробітництво</w:t>
      </w:r>
      <w:r w:rsidR="00AF6CFB">
        <w:t xml:space="preserve"> </w:t>
      </w:r>
      <w:r>
        <w:t>фінансуються через цільові програми розвитку в країнах Центральної та Східної Європи.</w:t>
      </w:r>
    </w:p>
    <w:p w:rsidR="00AF0936" w:rsidRDefault="007B42F7" w:rsidP="00F74CC5">
      <w:pPr>
        <w:pStyle w:val="a3"/>
        <w:spacing w:line="360" w:lineRule="auto"/>
        <w:ind w:left="0" w:firstLine="709"/>
      </w:pPr>
      <w:r>
        <w:t>Поряд із розглянутими базовими нормативно-правовими д</w:t>
      </w:r>
      <w:r>
        <w:t>окументами заслуговує на увагу комплекс нормативно-правових актів, які регулюють питання ТКС на рівні органів місцевої влади та самоврядування. Це закони України «Про місцеве самоврядування в Україні» (від 24.06.1997 р.), «Про місцеві державні адміністраці</w:t>
      </w:r>
      <w:r>
        <w:t>ї» (від 09.04.1999 р.), «Про стимулювання розвитку регіонів» (від 08.09.2005 р.), постанова Кабінету Міністрів України</w:t>
      </w:r>
      <w:r w:rsidR="00F74CC5">
        <w:t xml:space="preserve"> </w:t>
      </w:r>
      <w:r>
        <w:t>«Про затвердження Державної стратегії регіонального розвитку</w:t>
      </w:r>
      <w:r>
        <w:t>»</w:t>
      </w:r>
      <w:r>
        <w:t>, у яких визначені загальні правові підстави для участі у транскордонному співробітництві місцевих територіальних громад або властей.</w:t>
      </w:r>
    </w:p>
    <w:p w:rsidR="00AF0936" w:rsidRDefault="00FA2B84" w:rsidP="00FA2B84">
      <w:pPr>
        <w:pStyle w:val="a3"/>
        <w:spacing w:line="360" w:lineRule="auto"/>
      </w:pPr>
      <w:r>
        <w:t>4.</w:t>
      </w:r>
      <w:bookmarkStart w:id="0" w:name="_GoBack"/>
      <w:bookmarkEnd w:id="0"/>
      <w:r w:rsidR="007B42F7">
        <w:t>На сучасному етапі</w:t>
      </w:r>
      <w:r w:rsidR="007B42F7">
        <w:t xml:space="preserve"> транскордонне співробітництво стає потужним інструментом забезпечення сталого розвитку Закарпатської області через зміцнення міжрегіональних та транскордонних зв’язків, залучення додаткових коштів у розвиток області в формі міжнародної технічної допомоги </w:t>
      </w:r>
      <w:r w:rsidR="007B42F7">
        <w:t>та інвестицій країн-сусідів, а також стає найважливішою</w:t>
      </w:r>
      <w:r w:rsidR="007B42F7">
        <w:rPr>
          <w:spacing w:val="40"/>
        </w:rPr>
        <w:t xml:space="preserve"> </w:t>
      </w:r>
      <w:r w:rsidR="007B42F7">
        <w:t>складовою формування позитивного інвестиційного іміджу регіону. Окреме місце необхідно приділити міжрегіональним двостороннім угодам, які були підписані між Закарпатською областю та прикордонними регі</w:t>
      </w:r>
      <w:r w:rsidR="007B42F7">
        <w:t>онами Польщі, Словаччини, Угорщини та Румунії</w:t>
      </w:r>
      <w:r w:rsidR="0011072D">
        <w:t>.</w:t>
      </w:r>
    </w:p>
    <w:p w:rsidR="0011072D" w:rsidRDefault="007B42F7" w:rsidP="0050106B">
      <w:pPr>
        <w:pStyle w:val="a3"/>
        <w:spacing w:line="360" w:lineRule="auto"/>
        <w:ind w:left="0" w:firstLine="709"/>
      </w:pPr>
      <w:r>
        <w:t xml:space="preserve">Частиною законодавчої бази України, що також регламентує транскордонне співробітництво з країнами ЄС, є низка двосторонніх угод. Зокрема це Угода про добросусідські відносини та співробітництво між Республікою </w:t>
      </w:r>
      <w:r>
        <w:t>Польща</w:t>
      </w:r>
      <w:r>
        <w:rPr>
          <w:spacing w:val="40"/>
        </w:rPr>
        <w:t xml:space="preserve"> </w:t>
      </w:r>
      <w:r w:rsidR="0011072D">
        <w:t>та Україною від 18.05.1992 р.</w:t>
      </w:r>
      <w:r>
        <w:t xml:space="preserve"> Договір про основи добросусідства та співробітництва між Україною та Угорськ</w:t>
      </w:r>
      <w:r w:rsidR="00F2238A">
        <w:t xml:space="preserve">ою Республікою від 6.12.1991 р. </w:t>
      </w:r>
      <w:r>
        <w:t>Договір про добросусідство, дружні відносини та співробітництво між</w:t>
      </w:r>
      <w:r w:rsidR="0011072D">
        <w:t xml:space="preserve"> </w:t>
      </w:r>
      <w:r>
        <w:t>Україною та Словацькою Республікою від 29.</w:t>
      </w:r>
      <w:r>
        <w:t xml:space="preserve">06.1993 р., а також Договір про відносини добросусідства та співробітництва між Україною та Румунією від 2.06.1997 р. </w:t>
      </w:r>
    </w:p>
    <w:p w:rsidR="00AF0936" w:rsidRDefault="007B42F7" w:rsidP="0050106B">
      <w:pPr>
        <w:pStyle w:val="a3"/>
        <w:spacing w:line="360" w:lineRule="auto"/>
        <w:ind w:left="0" w:firstLine="709"/>
      </w:pPr>
      <w:r>
        <w:t xml:space="preserve">У грудні </w:t>
      </w:r>
      <w:r>
        <w:t xml:space="preserve">була схвалена Програма розвитку транскордонного </w:t>
      </w:r>
      <w:r>
        <w:lastRenderedPageBreak/>
        <w:t>співробітництва Закарпатської області</w:t>
      </w:r>
      <w:r w:rsidR="00FA2B84">
        <w:t>.</w:t>
      </w:r>
      <w:r>
        <w:t xml:space="preserve"> </w:t>
      </w:r>
      <w:r>
        <w:t>Беручи до</w:t>
      </w:r>
      <w:r>
        <w:t xml:space="preserve"> уваги розташування останньої, можна визначити головне завдання, яке стоїть сьогодні перед обласною державною адміністрацією та обласною радою, – ефективне використання геополітичних та геоекономічних переваг Закарпатської області як «зовнішнього» регіону </w:t>
      </w:r>
      <w:r>
        <w:t>ЄС з метою прискорення економічного та соціального розвитку регіону.</w:t>
      </w:r>
    </w:p>
    <w:p w:rsidR="00AF0936" w:rsidRDefault="007B42F7" w:rsidP="0050106B">
      <w:pPr>
        <w:pStyle w:val="a3"/>
        <w:spacing w:line="360" w:lineRule="auto"/>
        <w:ind w:left="0" w:firstLine="709"/>
      </w:pPr>
      <w:r>
        <w:t>Зокрема, Закарпатська область чітко визначила пріоритетні напрями і завдання транскордонного співробітництва:</w:t>
      </w:r>
    </w:p>
    <w:p w:rsidR="00AF0936" w:rsidRDefault="007B42F7" w:rsidP="0050106B">
      <w:pPr>
        <w:pStyle w:val="a5"/>
        <w:numPr>
          <w:ilvl w:val="0"/>
          <w:numId w:val="2"/>
        </w:numPr>
        <w:tabs>
          <w:tab w:val="left" w:pos="1211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сприяння економічному, соціальному, культурному розвитку пр</w:t>
      </w:r>
      <w:r>
        <w:rPr>
          <w:sz w:val="28"/>
        </w:rPr>
        <w:t xml:space="preserve">икордонних територій та активізація всебічного транскордонного співробітництва із сусідніми країнами на обласному та місцевому </w:t>
      </w:r>
      <w:r>
        <w:rPr>
          <w:spacing w:val="-2"/>
          <w:sz w:val="28"/>
        </w:rPr>
        <w:t>рівнях</w:t>
      </w:r>
    </w:p>
    <w:p w:rsidR="00AF0936" w:rsidRDefault="007B42F7" w:rsidP="0050106B">
      <w:pPr>
        <w:pStyle w:val="a3"/>
        <w:spacing w:line="360" w:lineRule="auto"/>
        <w:ind w:left="0" w:firstLine="709"/>
      </w:pPr>
      <w:r>
        <w:t>забезпечення</w:t>
      </w:r>
      <w:r>
        <w:rPr>
          <w:spacing w:val="-2"/>
        </w:rPr>
        <w:t xml:space="preserve"> </w:t>
      </w:r>
      <w:r>
        <w:t>підвищення</w:t>
      </w:r>
      <w:r>
        <w:rPr>
          <w:spacing w:val="-2"/>
        </w:rPr>
        <w:t xml:space="preserve"> </w:t>
      </w:r>
      <w:r>
        <w:t>рівня</w:t>
      </w:r>
      <w:r>
        <w:rPr>
          <w:spacing w:val="-2"/>
        </w:rPr>
        <w:t xml:space="preserve"> </w:t>
      </w:r>
      <w:r>
        <w:t>життя</w:t>
      </w:r>
      <w:r>
        <w:rPr>
          <w:spacing w:val="-4"/>
        </w:rPr>
        <w:t xml:space="preserve"> </w:t>
      </w:r>
      <w:r>
        <w:t>населення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розвитку</w:t>
      </w:r>
      <w:r>
        <w:rPr>
          <w:spacing w:val="-6"/>
        </w:rPr>
        <w:t xml:space="preserve"> </w:t>
      </w:r>
      <w:r>
        <w:t>соціальної сфери прикордонних територій Закарпаття;</w:t>
      </w:r>
    </w:p>
    <w:p w:rsidR="00AF0936" w:rsidRDefault="007B42F7" w:rsidP="0050106B">
      <w:pPr>
        <w:pStyle w:val="a5"/>
        <w:numPr>
          <w:ilvl w:val="0"/>
          <w:numId w:val="2"/>
        </w:numPr>
        <w:tabs>
          <w:tab w:val="left" w:pos="989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поглиблення</w:t>
      </w:r>
      <w:r>
        <w:rPr>
          <w:spacing w:val="-9"/>
          <w:sz w:val="28"/>
        </w:rPr>
        <w:t xml:space="preserve"> </w:t>
      </w:r>
      <w:r>
        <w:rPr>
          <w:sz w:val="28"/>
        </w:rPr>
        <w:t>співпраці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"/>
          <w:sz w:val="28"/>
        </w:rPr>
        <w:t xml:space="preserve"> </w:t>
      </w:r>
      <w:r>
        <w:rPr>
          <w:sz w:val="28"/>
        </w:rPr>
        <w:t>Карпатського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єврорегіону;</w:t>
      </w:r>
    </w:p>
    <w:p w:rsidR="00AF0936" w:rsidRDefault="007B42F7" w:rsidP="0050106B">
      <w:pPr>
        <w:pStyle w:val="a5"/>
        <w:numPr>
          <w:ilvl w:val="0"/>
          <w:numId w:val="2"/>
        </w:numPr>
        <w:tabs>
          <w:tab w:val="left" w:pos="989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активізація</w:t>
      </w:r>
      <w:r>
        <w:rPr>
          <w:spacing w:val="-17"/>
          <w:sz w:val="28"/>
        </w:rPr>
        <w:t xml:space="preserve"> </w:t>
      </w:r>
      <w:r>
        <w:rPr>
          <w:sz w:val="28"/>
        </w:rPr>
        <w:t>зовнішньоекономічної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діяльності;</w:t>
      </w:r>
    </w:p>
    <w:p w:rsidR="00AF0936" w:rsidRDefault="007B42F7" w:rsidP="0050106B">
      <w:pPr>
        <w:pStyle w:val="a5"/>
        <w:numPr>
          <w:ilvl w:val="0"/>
          <w:numId w:val="2"/>
        </w:numPr>
        <w:tabs>
          <w:tab w:val="left" w:pos="1189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створення умов для заснування і функціонування спільних підприємств та утворення транскордонних економічних кластерів; • сприяння розвитку малого та середнього підприємництва;</w:t>
      </w:r>
    </w:p>
    <w:p w:rsidR="00AF0936" w:rsidRDefault="007B42F7" w:rsidP="0050106B">
      <w:pPr>
        <w:pStyle w:val="a5"/>
        <w:numPr>
          <w:ilvl w:val="0"/>
          <w:numId w:val="2"/>
        </w:numPr>
        <w:tabs>
          <w:tab w:val="left" w:pos="1089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забезпечення охорони навколишнього природного середовища та екологічної безпеки;</w:t>
      </w:r>
    </w:p>
    <w:p w:rsidR="00AF0936" w:rsidRDefault="007B42F7" w:rsidP="0050106B">
      <w:pPr>
        <w:pStyle w:val="a5"/>
        <w:numPr>
          <w:ilvl w:val="0"/>
          <w:numId w:val="2"/>
        </w:numPr>
        <w:tabs>
          <w:tab w:val="left" w:pos="1024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розвиток природної інфраструктури і створення умов для залучення </w:t>
      </w:r>
      <w:r>
        <w:rPr>
          <w:spacing w:val="-2"/>
          <w:sz w:val="28"/>
        </w:rPr>
        <w:t>інвестицій.</w:t>
      </w:r>
    </w:p>
    <w:p w:rsidR="00AF0936" w:rsidRDefault="007B42F7" w:rsidP="0050106B">
      <w:pPr>
        <w:pStyle w:val="a3"/>
        <w:spacing w:line="360" w:lineRule="auto"/>
        <w:ind w:left="0" w:firstLine="709"/>
      </w:pPr>
      <w:r>
        <w:t>Висновки.</w:t>
      </w:r>
      <w:r>
        <w:rPr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чином,</w:t>
      </w:r>
      <w:r>
        <w:rPr>
          <w:spacing w:val="-2"/>
        </w:rPr>
        <w:t xml:space="preserve"> </w:t>
      </w:r>
      <w:r>
        <w:t>діяльність</w:t>
      </w:r>
      <w:r>
        <w:rPr>
          <w:spacing w:val="-3"/>
        </w:rPr>
        <w:t xml:space="preserve"> </w:t>
      </w:r>
      <w:r>
        <w:t>прикордонних</w:t>
      </w:r>
      <w:r>
        <w:rPr>
          <w:spacing w:val="-2"/>
        </w:rPr>
        <w:t xml:space="preserve"> </w:t>
      </w:r>
      <w:r>
        <w:t>регіонів</w:t>
      </w:r>
      <w:r>
        <w:rPr>
          <w:spacing w:val="-4"/>
        </w:rPr>
        <w:t xml:space="preserve"> </w:t>
      </w:r>
      <w:r>
        <w:t>України</w:t>
      </w:r>
      <w:r>
        <w:rPr>
          <w:spacing w:val="-3"/>
        </w:rPr>
        <w:t xml:space="preserve"> </w:t>
      </w:r>
      <w:r>
        <w:t xml:space="preserve">базується на основних законах, європейських конвенціях, хартіях, ратифікованих Україною, </w:t>
      </w:r>
      <w:r>
        <w:t>багатосторонніх уг</w:t>
      </w:r>
      <w:r>
        <w:t>одах, підписаних між Україною та державами-членами ЄС.</w:t>
      </w:r>
    </w:p>
    <w:p w:rsidR="00AF0936" w:rsidRDefault="007B42F7" w:rsidP="0050106B">
      <w:pPr>
        <w:pStyle w:val="a3"/>
        <w:spacing w:line="360" w:lineRule="auto"/>
        <w:ind w:left="0" w:firstLine="709"/>
      </w:pPr>
      <w:r>
        <w:t>Розглянувши їх мету та зміст, можна констатувати, що чинна законодавча база забезпечує можливість використання потенціалу ТКС для вирішення основоположних проблем прикордонних регіонів України. Проте н</w:t>
      </w:r>
      <w:r>
        <w:t xml:space="preserve">еобхідно зазначити, що існуючі законодавчі акти України, що забезпечують транскордонне співробітництво, потребують адаптації їх до стандартів Європейського Союзу та Ради Європи, включаючи подальше </w:t>
      </w:r>
      <w:r w:rsidR="0050106B">
        <w:t>нормативно -</w:t>
      </w:r>
      <w:r>
        <w:t xml:space="preserve"> правове врегулювання </w:t>
      </w:r>
      <w:r>
        <w:lastRenderedPageBreak/>
        <w:t>повноважень місцевих орган</w:t>
      </w:r>
      <w:r>
        <w:t>ів влади і надання їм більшої самостійності у вирішенні спільних з прикордонними регіонами країн-членів ЄС питань стосовно прикордонного співробітництва.</w:t>
      </w:r>
    </w:p>
    <w:p w:rsidR="00AF0936" w:rsidRPr="00F2238A" w:rsidRDefault="007B42F7" w:rsidP="00F2238A">
      <w:pPr>
        <w:pStyle w:val="a3"/>
        <w:spacing w:line="360" w:lineRule="auto"/>
        <w:ind w:left="0" w:firstLine="709"/>
        <w:rPr>
          <w:spacing w:val="-10"/>
        </w:rPr>
      </w:pPr>
      <w:r>
        <w:t>Приєднання до європейських законодавчих актів у сфері ТКС розширює правове поле транскордонного співро</w:t>
      </w:r>
      <w:r>
        <w:t>бітництва, дає можливість передбачити нормами законодавства України встановлення відповідальності регіональних органів влади за спільно прийняті рішення, здійснення контролю за виконанням заходів, що випливають з угод про транскордонне співробітництво, а т</w:t>
      </w:r>
      <w:r>
        <w:t>акож поширює правові норми Європейської конвенції</w:t>
      </w:r>
      <w:r>
        <w:rPr>
          <w:spacing w:val="40"/>
        </w:rPr>
        <w:t xml:space="preserve"> </w:t>
      </w:r>
      <w:r>
        <w:t>про транскордонне співробітництво між територіальними общинами або властями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транскордонне</w:t>
      </w:r>
      <w:r>
        <w:rPr>
          <w:spacing w:val="-2"/>
        </w:rPr>
        <w:t xml:space="preserve"> </w:t>
      </w:r>
      <w:r>
        <w:t>співробітництво.</w:t>
      </w:r>
      <w:r>
        <w:rPr>
          <w:spacing w:val="-2"/>
        </w:rPr>
        <w:t xml:space="preserve"> </w:t>
      </w:r>
      <w:r>
        <w:t>Незважаючи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значну</w:t>
      </w:r>
      <w:r>
        <w:rPr>
          <w:spacing w:val="-6"/>
        </w:rPr>
        <w:t xml:space="preserve"> </w:t>
      </w:r>
      <w:r>
        <w:t xml:space="preserve">кількість нормативно-правових документів, які регламентують міжрегіональну </w:t>
      </w:r>
      <w:r>
        <w:t>співпрацю, в Україні відсутня єдина науково обґрунтована концепція транскордонного співробітництва, яка б пропонувала методологічні підходи до</w:t>
      </w:r>
      <w:r>
        <w:rPr>
          <w:spacing w:val="30"/>
        </w:rPr>
        <w:t xml:space="preserve">  </w:t>
      </w:r>
      <w:r>
        <w:t>розвитку</w:t>
      </w:r>
      <w:r>
        <w:rPr>
          <w:spacing w:val="29"/>
        </w:rPr>
        <w:t xml:space="preserve">  </w:t>
      </w:r>
      <w:r>
        <w:t>процесів</w:t>
      </w:r>
      <w:r>
        <w:rPr>
          <w:spacing w:val="30"/>
        </w:rPr>
        <w:t xml:space="preserve">  </w:t>
      </w:r>
      <w:r>
        <w:t>з</w:t>
      </w:r>
      <w:r>
        <w:rPr>
          <w:spacing w:val="31"/>
        </w:rPr>
        <w:t xml:space="preserve">  </w:t>
      </w:r>
      <w:r>
        <w:t>урахуванням</w:t>
      </w:r>
      <w:r>
        <w:rPr>
          <w:spacing w:val="31"/>
        </w:rPr>
        <w:t xml:space="preserve">  </w:t>
      </w:r>
      <w:r>
        <w:t>не</w:t>
      </w:r>
      <w:r>
        <w:rPr>
          <w:spacing w:val="31"/>
        </w:rPr>
        <w:t xml:space="preserve">  </w:t>
      </w:r>
      <w:r>
        <w:t>лише</w:t>
      </w:r>
      <w:r>
        <w:rPr>
          <w:spacing w:val="30"/>
        </w:rPr>
        <w:t xml:space="preserve">  </w:t>
      </w:r>
      <w:r>
        <w:t>окремого</w:t>
      </w:r>
      <w:r>
        <w:rPr>
          <w:spacing w:val="30"/>
        </w:rPr>
        <w:t xml:space="preserve">  </w:t>
      </w:r>
      <w:r>
        <w:t>регіону,</w:t>
      </w:r>
      <w:r>
        <w:rPr>
          <w:spacing w:val="30"/>
        </w:rPr>
        <w:t xml:space="preserve">  </w:t>
      </w:r>
      <w:r>
        <w:t>а</w:t>
      </w:r>
      <w:r>
        <w:rPr>
          <w:spacing w:val="32"/>
        </w:rPr>
        <w:t xml:space="preserve">  </w:t>
      </w:r>
      <w:r>
        <w:rPr>
          <w:spacing w:val="-10"/>
        </w:rPr>
        <w:t>й</w:t>
      </w:r>
      <w:r w:rsidR="00F2238A">
        <w:rPr>
          <w:spacing w:val="-10"/>
        </w:rPr>
        <w:t xml:space="preserve"> </w:t>
      </w:r>
      <w:r>
        <w:t>загальнонаціональних інтересів. Все це зумовлює необхідність розроблення такої концепції, яка б базувалась на відповідних регіональних стратегіях розвитку, враховувала б як загальноєвропейські, так і національні</w:t>
      </w:r>
      <w:r>
        <w:rPr>
          <w:spacing w:val="80"/>
        </w:rPr>
        <w:t xml:space="preserve"> </w:t>
      </w:r>
      <w:r>
        <w:rPr>
          <w:spacing w:val="-2"/>
        </w:rPr>
        <w:t>пріоритети.</w:t>
      </w:r>
    </w:p>
    <w:p w:rsidR="00AF0936" w:rsidRDefault="00AF0936">
      <w:pPr>
        <w:pStyle w:val="a3"/>
        <w:ind w:left="0"/>
        <w:jc w:val="left"/>
      </w:pPr>
    </w:p>
    <w:p w:rsidR="00AF0936" w:rsidRDefault="00AF0936">
      <w:pPr>
        <w:pStyle w:val="a3"/>
        <w:spacing w:before="22"/>
        <w:ind w:left="0"/>
        <w:jc w:val="left"/>
      </w:pPr>
    </w:p>
    <w:sectPr w:rsidR="00AF0936">
      <w:headerReference w:type="default" r:id="rId8"/>
      <w:pgSz w:w="11910" w:h="16840"/>
      <w:pgMar w:top="1140" w:right="440" w:bottom="280" w:left="16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F7" w:rsidRDefault="007B42F7">
      <w:r>
        <w:separator/>
      </w:r>
    </w:p>
  </w:endnote>
  <w:endnote w:type="continuationSeparator" w:id="0">
    <w:p w:rsidR="007B42F7" w:rsidRDefault="007B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F7" w:rsidRDefault="007B42F7">
      <w:r>
        <w:separator/>
      </w:r>
    </w:p>
  </w:footnote>
  <w:footnote w:type="continuationSeparator" w:id="0">
    <w:p w:rsidR="007B42F7" w:rsidRDefault="007B4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936" w:rsidRDefault="007B42F7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487499776" behindDoc="1" locked="0" layoutInCell="1" allowOverlap="1" wp14:anchorId="6AC73B66" wp14:editId="783EAE83">
              <wp:simplePos x="0" y="0"/>
              <wp:positionH relativeFrom="page">
                <wp:posOffset>6914133</wp:posOffset>
              </wp:positionH>
              <wp:positionV relativeFrom="page">
                <wp:posOffset>462787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F0936" w:rsidRDefault="007B42F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 w:rsidR="00FA2B84">
                            <w:rPr>
                              <w:rFonts w:ascii="Calibri"/>
                              <w:noProof/>
                              <w:spacing w:val="-10"/>
                            </w:rPr>
                            <w:t>8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44.4pt;margin-top:36.45pt;width:12.6pt;height:13.05pt;z-index:-1581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" filled="f" stroked="f">
              <v:path arrowok="t"/>
              <v:textbox inset="0,0,0,0">
                <w:txbxContent>
                  <w:p w:rsidR="00AF0936" w:rsidRDefault="007B42F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 w:rsidR="00FA2B84">
                      <w:rPr>
                        <w:rFonts w:ascii="Calibri"/>
                        <w:noProof/>
                        <w:spacing w:val="-10"/>
                      </w:rPr>
                      <w:t>8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0E17"/>
    <w:multiLevelType w:val="hybridMultilevel"/>
    <w:tmpl w:val="500C315C"/>
    <w:lvl w:ilvl="0" w:tplc="EC74BA80">
      <w:numFmt w:val="bullet"/>
      <w:lvlText w:val="•"/>
      <w:lvlJc w:val="left"/>
      <w:pPr>
        <w:ind w:left="102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6D18AC78">
      <w:numFmt w:val="bullet"/>
      <w:lvlText w:val="•"/>
      <w:lvlJc w:val="left"/>
      <w:pPr>
        <w:ind w:left="1076" w:hanging="173"/>
      </w:pPr>
      <w:rPr>
        <w:rFonts w:hint="default"/>
        <w:lang w:val="uk-UA" w:eastAsia="en-US" w:bidi="ar-SA"/>
      </w:rPr>
    </w:lvl>
    <w:lvl w:ilvl="2" w:tplc="F28C83EA">
      <w:numFmt w:val="bullet"/>
      <w:lvlText w:val="•"/>
      <w:lvlJc w:val="left"/>
      <w:pPr>
        <w:ind w:left="2053" w:hanging="173"/>
      </w:pPr>
      <w:rPr>
        <w:rFonts w:hint="default"/>
        <w:lang w:val="uk-UA" w:eastAsia="en-US" w:bidi="ar-SA"/>
      </w:rPr>
    </w:lvl>
    <w:lvl w:ilvl="3" w:tplc="1BE0C2C2">
      <w:numFmt w:val="bullet"/>
      <w:lvlText w:val="•"/>
      <w:lvlJc w:val="left"/>
      <w:pPr>
        <w:ind w:left="3029" w:hanging="173"/>
      </w:pPr>
      <w:rPr>
        <w:rFonts w:hint="default"/>
        <w:lang w:val="uk-UA" w:eastAsia="en-US" w:bidi="ar-SA"/>
      </w:rPr>
    </w:lvl>
    <w:lvl w:ilvl="4" w:tplc="2DCE8B6A">
      <w:numFmt w:val="bullet"/>
      <w:lvlText w:val="•"/>
      <w:lvlJc w:val="left"/>
      <w:pPr>
        <w:ind w:left="4006" w:hanging="173"/>
      </w:pPr>
      <w:rPr>
        <w:rFonts w:hint="default"/>
        <w:lang w:val="uk-UA" w:eastAsia="en-US" w:bidi="ar-SA"/>
      </w:rPr>
    </w:lvl>
    <w:lvl w:ilvl="5" w:tplc="DDB896AE">
      <w:numFmt w:val="bullet"/>
      <w:lvlText w:val="•"/>
      <w:lvlJc w:val="left"/>
      <w:pPr>
        <w:ind w:left="4983" w:hanging="173"/>
      </w:pPr>
      <w:rPr>
        <w:rFonts w:hint="default"/>
        <w:lang w:val="uk-UA" w:eastAsia="en-US" w:bidi="ar-SA"/>
      </w:rPr>
    </w:lvl>
    <w:lvl w:ilvl="6" w:tplc="3DD46A12">
      <w:numFmt w:val="bullet"/>
      <w:lvlText w:val="•"/>
      <w:lvlJc w:val="left"/>
      <w:pPr>
        <w:ind w:left="5959" w:hanging="173"/>
      </w:pPr>
      <w:rPr>
        <w:rFonts w:hint="default"/>
        <w:lang w:val="uk-UA" w:eastAsia="en-US" w:bidi="ar-SA"/>
      </w:rPr>
    </w:lvl>
    <w:lvl w:ilvl="7" w:tplc="C5F26112">
      <w:numFmt w:val="bullet"/>
      <w:lvlText w:val="•"/>
      <w:lvlJc w:val="left"/>
      <w:pPr>
        <w:ind w:left="6936" w:hanging="173"/>
      </w:pPr>
      <w:rPr>
        <w:rFonts w:hint="default"/>
        <w:lang w:val="uk-UA" w:eastAsia="en-US" w:bidi="ar-SA"/>
      </w:rPr>
    </w:lvl>
    <w:lvl w:ilvl="8" w:tplc="83360E7E">
      <w:numFmt w:val="bullet"/>
      <w:lvlText w:val="•"/>
      <w:lvlJc w:val="left"/>
      <w:pPr>
        <w:ind w:left="7913" w:hanging="173"/>
      </w:pPr>
      <w:rPr>
        <w:rFonts w:hint="default"/>
        <w:lang w:val="uk-UA" w:eastAsia="en-US" w:bidi="ar-SA"/>
      </w:rPr>
    </w:lvl>
  </w:abstractNum>
  <w:abstractNum w:abstractNumId="1">
    <w:nsid w:val="1E624367"/>
    <w:multiLevelType w:val="hybridMultilevel"/>
    <w:tmpl w:val="F1FA88B6"/>
    <w:lvl w:ilvl="0" w:tplc="571C1F56">
      <w:start w:val="1"/>
      <w:numFmt w:val="decimal"/>
      <w:lvlText w:val="%1."/>
      <w:lvlJc w:val="left"/>
      <w:pPr>
        <w:ind w:left="102" w:hanging="3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A8A097DC">
      <w:numFmt w:val="bullet"/>
      <w:lvlText w:val="•"/>
      <w:lvlJc w:val="left"/>
      <w:pPr>
        <w:ind w:left="1076" w:hanging="314"/>
      </w:pPr>
      <w:rPr>
        <w:rFonts w:hint="default"/>
        <w:lang w:val="uk-UA" w:eastAsia="en-US" w:bidi="ar-SA"/>
      </w:rPr>
    </w:lvl>
    <w:lvl w:ilvl="2" w:tplc="5CE4020E">
      <w:numFmt w:val="bullet"/>
      <w:lvlText w:val="•"/>
      <w:lvlJc w:val="left"/>
      <w:pPr>
        <w:ind w:left="2053" w:hanging="314"/>
      </w:pPr>
      <w:rPr>
        <w:rFonts w:hint="default"/>
        <w:lang w:val="uk-UA" w:eastAsia="en-US" w:bidi="ar-SA"/>
      </w:rPr>
    </w:lvl>
    <w:lvl w:ilvl="3" w:tplc="4B020DB4">
      <w:numFmt w:val="bullet"/>
      <w:lvlText w:val="•"/>
      <w:lvlJc w:val="left"/>
      <w:pPr>
        <w:ind w:left="3029" w:hanging="314"/>
      </w:pPr>
      <w:rPr>
        <w:rFonts w:hint="default"/>
        <w:lang w:val="uk-UA" w:eastAsia="en-US" w:bidi="ar-SA"/>
      </w:rPr>
    </w:lvl>
    <w:lvl w:ilvl="4" w:tplc="F3A4A39E">
      <w:numFmt w:val="bullet"/>
      <w:lvlText w:val="•"/>
      <w:lvlJc w:val="left"/>
      <w:pPr>
        <w:ind w:left="4006" w:hanging="314"/>
      </w:pPr>
      <w:rPr>
        <w:rFonts w:hint="default"/>
        <w:lang w:val="uk-UA" w:eastAsia="en-US" w:bidi="ar-SA"/>
      </w:rPr>
    </w:lvl>
    <w:lvl w:ilvl="5" w:tplc="70C4AC18">
      <w:numFmt w:val="bullet"/>
      <w:lvlText w:val="•"/>
      <w:lvlJc w:val="left"/>
      <w:pPr>
        <w:ind w:left="4983" w:hanging="314"/>
      </w:pPr>
      <w:rPr>
        <w:rFonts w:hint="default"/>
        <w:lang w:val="uk-UA" w:eastAsia="en-US" w:bidi="ar-SA"/>
      </w:rPr>
    </w:lvl>
    <w:lvl w:ilvl="6" w:tplc="B32AF922">
      <w:numFmt w:val="bullet"/>
      <w:lvlText w:val="•"/>
      <w:lvlJc w:val="left"/>
      <w:pPr>
        <w:ind w:left="5959" w:hanging="314"/>
      </w:pPr>
      <w:rPr>
        <w:rFonts w:hint="default"/>
        <w:lang w:val="uk-UA" w:eastAsia="en-US" w:bidi="ar-SA"/>
      </w:rPr>
    </w:lvl>
    <w:lvl w:ilvl="7" w:tplc="57B4E9FA">
      <w:numFmt w:val="bullet"/>
      <w:lvlText w:val="•"/>
      <w:lvlJc w:val="left"/>
      <w:pPr>
        <w:ind w:left="6936" w:hanging="314"/>
      </w:pPr>
      <w:rPr>
        <w:rFonts w:hint="default"/>
        <w:lang w:val="uk-UA" w:eastAsia="en-US" w:bidi="ar-SA"/>
      </w:rPr>
    </w:lvl>
    <w:lvl w:ilvl="8" w:tplc="BEAE94C0">
      <w:numFmt w:val="bullet"/>
      <w:lvlText w:val="•"/>
      <w:lvlJc w:val="left"/>
      <w:pPr>
        <w:ind w:left="7913" w:hanging="314"/>
      </w:pPr>
      <w:rPr>
        <w:rFonts w:hint="default"/>
        <w:lang w:val="uk-UA" w:eastAsia="en-US" w:bidi="ar-SA"/>
      </w:rPr>
    </w:lvl>
  </w:abstractNum>
  <w:abstractNum w:abstractNumId="2">
    <w:nsid w:val="27423D6D"/>
    <w:multiLevelType w:val="hybridMultilevel"/>
    <w:tmpl w:val="17846B56"/>
    <w:lvl w:ilvl="0" w:tplc="E752D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534D5B"/>
    <w:multiLevelType w:val="hybridMultilevel"/>
    <w:tmpl w:val="A95A4C38"/>
    <w:lvl w:ilvl="0" w:tplc="79924974">
      <w:start w:val="1"/>
      <w:numFmt w:val="decimal"/>
      <w:lvlText w:val="%1."/>
      <w:lvlJc w:val="left"/>
      <w:pPr>
        <w:ind w:left="886" w:hanging="360"/>
        <w:jc w:val="right"/>
      </w:pPr>
      <w:rPr>
        <w:rFonts w:hint="default"/>
        <w:spacing w:val="0"/>
        <w:w w:val="90"/>
        <w:lang w:val="uk-UA" w:eastAsia="en-US" w:bidi="ar-SA"/>
      </w:rPr>
    </w:lvl>
    <w:lvl w:ilvl="1" w:tplc="5562F5C6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5A106F8A">
      <w:numFmt w:val="bullet"/>
      <w:lvlText w:val="•"/>
      <w:lvlJc w:val="left"/>
      <w:pPr>
        <w:ind w:left="1878" w:hanging="360"/>
      </w:pPr>
      <w:rPr>
        <w:rFonts w:hint="default"/>
        <w:lang w:val="uk-UA" w:eastAsia="en-US" w:bidi="ar-SA"/>
      </w:rPr>
    </w:lvl>
    <w:lvl w:ilvl="3" w:tplc="9E300FBE">
      <w:numFmt w:val="bullet"/>
      <w:lvlText w:val="•"/>
      <w:lvlJc w:val="left"/>
      <w:pPr>
        <w:ind w:left="2876" w:hanging="360"/>
      </w:pPr>
      <w:rPr>
        <w:rFonts w:hint="default"/>
        <w:lang w:val="uk-UA" w:eastAsia="en-US" w:bidi="ar-SA"/>
      </w:rPr>
    </w:lvl>
    <w:lvl w:ilvl="4" w:tplc="61F8F0FC">
      <w:numFmt w:val="bullet"/>
      <w:lvlText w:val="•"/>
      <w:lvlJc w:val="left"/>
      <w:pPr>
        <w:ind w:left="3875" w:hanging="360"/>
      </w:pPr>
      <w:rPr>
        <w:rFonts w:hint="default"/>
        <w:lang w:val="uk-UA" w:eastAsia="en-US" w:bidi="ar-SA"/>
      </w:rPr>
    </w:lvl>
    <w:lvl w:ilvl="5" w:tplc="9E303C1E">
      <w:numFmt w:val="bullet"/>
      <w:lvlText w:val="•"/>
      <w:lvlJc w:val="left"/>
      <w:pPr>
        <w:ind w:left="4873" w:hanging="360"/>
      </w:pPr>
      <w:rPr>
        <w:rFonts w:hint="default"/>
        <w:lang w:val="uk-UA" w:eastAsia="en-US" w:bidi="ar-SA"/>
      </w:rPr>
    </w:lvl>
    <w:lvl w:ilvl="6" w:tplc="C088A012">
      <w:numFmt w:val="bullet"/>
      <w:lvlText w:val="•"/>
      <w:lvlJc w:val="left"/>
      <w:pPr>
        <w:ind w:left="5872" w:hanging="360"/>
      </w:pPr>
      <w:rPr>
        <w:rFonts w:hint="default"/>
        <w:lang w:val="uk-UA" w:eastAsia="en-US" w:bidi="ar-SA"/>
      </w:rPr>
    </w:lvl>
    <w:lvl w:ilvl="7" w:tplc="6D42DDA4">
      <w:numFmt w:val="bullet"/>
      <w:lvlText w:val="•"/>
      <w:lvlJc w:val="left"/>
      <w:pPr>
        <w:ind w:left="6870" w:hanging="360"/>
      </w:pPr>
      <w:rPr>
        <w:rFonts w:hint="default"/>
        <w:lang w:val="uk-UA" w:eastAsia="en-US" w:bidi="ar-SA"/>
      </w:rPr>
    </w:lvl>
    <w:lvl w:ilvl="8" w:tplc="80E426D2">
      <w:numFmt w:val="bullet"/>
      <w:lvlText w:val="•"/>
      <w:lvlJc w:val="left"/>
      <w:pPr>
        <w:ind w:left="7869" w:hanging="360"/>
      </w:pPr>
      <w:rPr>
        <w:rFonts w:hint="default"/>
        <w:lang w:val="uk-UA" w:eastAsia="en-US" w:bidi="ar-SA"/>
      </w:rPr>
    </w:lvl>
  </w:abstractNum>
  <w:abstractNum w:abstractNumId="4">
    <w:nsid w:val="667A2CB0"/>
    <w:multiLevelType w:val="hybridMultilevel"/>
    <w:tmpl w:val="1C6CBDC2"/>
    <w:lvl w:ilvl="0" w:tplc="6088CC76">
      <w:start w:val="1"/>
      <w:numFmt w:val="decimal"/>
      <w:lvlText w:val="%1."/>
      <w:lvlJc w:val="left"/>
      <w:pPr>
        <w:ind w:left="8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68C22D8">
      <w:numFmt w:val="bullet"/>
      <w:lvlText w:val="•"/>
      <w:lvlJc w:val="left"/>
      <w:pPr>
        <w:ind w:left="1778" w:hanging="360"/>
      </w:pPr>
      <w:rPr>
        <w:rFonts w:hint="default"/>
        <w:lang w:val="uk-UA" w:eastAsia="en-US" w:bidi="ar-SA"/>
      </w:rPr>
    </w:lvl>
    <w:lvl w:ilvl="2" w:tplc="0CB6EC46">
      <w:numFmt w:val="bullet"/>
      <w:lvlText w:val="•"/>
      <w:lvlJc w:val="left"/>
      <w:pPr>
        <w:ind w:left="2677" w:hanging="360"/>
      </w:pPr>
      <w:rPr>
        <w:rFonts w:hint="default"/>
        <w:lang w:val="uk-UA" w:eastAsia="en-US" w:bidi="ar-SA"/>
      </w:rPr>
    </w:lvl>
    <w:lvl w:ilvl="3" w:tplc="DAACBA68">
      <w:numFmt w:val="bullet"/>
      <w:lvlText w:val="•"/>
      <w:lvlJc w:val="left"/>
      <w:pPr>
        <w:ind w:left="3575" w:hanging="360"/>
      </w:pPr>
      <w:rPr>
        <w:rFonts w:hint="default"/>
        <w:lang w:val="uk-UA" w:eastAsia="en-US" w:bidi="ar-SA"/>
      </w:rPr>
    </w:lvl>
    <w:lvl w:ilvl="4" w:tplc="ADDED44A">
      <w:numFmt w:val="bullet"/>
      <w:lvlText w:val="•"/>
      <w:lvlJc w:val="left"/>
      <w:pPr>
        <w:ind w:left="4474" w:hanging="360"/>
      </w:pPr>
      <w:rPr>
        <w:rFonts w:hint="default"/>
        <w:lang w:val="uk-UA" w:eastAsia="en-US" w:bidi="ar-SA"/>
      </w:rPr>
    </w:lvl>
    <w:lvl w:ilvl="5" w:tplc="C29C7AB4">
      <w:numFmt w:val="bullet"/>
      <w:lvlText w:val="•"/>
      <w:lvlJc w:val="left"/>
      <w:pPr>
        <w:ind w:left="5373" w:hanging="360"/>
      </w:pPr>
      <w:rPr>
        <w:rFonts w:hint="default"/>
        <w:lang w:val="uk-UA" w:eastAsia="en-US" w:bidi="ar-SA"/>
      </w:rPr>
    </w:lvl>
    <w:lvl w:ilvl="6" w:tplc="AFD2C1E4">
      <w:numFmt w:val="bullet"/>
      <w:lvlText w:val="•"/>
      <w:lvlJc w:val="left"/>
      <w:pPr>
        <w:ind w:left="6271" w:hanging="360"/>
      </w:pPr>
      <w:rPr>
        <w:rFonts w:hint="default"/>
        <w:lang w:val="uk-UA" w:eastAsia="en-US" w:bidi="ar-SA"/>
      </w:rPr>
    </w:lvl>
    <w:lvl w:ilvl="7" w:tplc="F65CC5AE">
      <w:numFmt w:val="bullet"/>
      <w:lvlText w:val="•"/>
      <w:lvlJc w:val="left"/>
      <w:pPr>
        <w:ind w:left="7170" w:hanging="360"/>
      </w:pPr>
      <w:rPr>
        <w:rFonts w:hint="default"/>
        <w:lang w:val="uk-UA" w:eastAsia="en-US" w:bidi="ar-SA"/>
      </w:rPr>
    </w:lvl>
    <w:lvl w:ilvl="8" w:tplc="17D6D37E">
      <w:numFmt w:val="bullet"/>
      <w:lvlText w:val="•"/>
      <w:lvlJc w:val="left"/>
      <w:pPr>
        <w:ind w:left="8069" w:hanging="360"/>
      </w:pPr>
      <w:rPr>
        <w:rFonts w:hint="default"/>
        <w:lang w:val="uk-UA" w:eastAsia="en-US" w:bidi="ar-SA"/>
      </w:rPr>
    </w:lvl>
  </w:abstractNum>
  <w:abstractNum w:abstractNumId="5">
    <w:nsid w:val="76C5229F"/>
    <w:multiLevelType w:val="hybridMultilevel"/>
    <w:tmpl w:val="DE224C26"/>
    <w:lvl w:ilvl="0" w:tplc="E15629DC">
      <w:numFmt w:val="bullet"/>
      <w:lvlText w:val="•"/>
      <w:lvlJc w:val="left"/>
      <w:pPr>
        <w:ind w:left="822" w:hanging="3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DB0DCDA">
      <w:numFmt w:val="bullet"/>
      <w:lvlText w:val="•"/>
      <w:lvlJc w:val="left"/>
      <w:pPr>
        <w:ind w:left="1724" w:hanging="391"/>
      </w:pPr>
      <w:rPr>
        <w:rFonts w:hint="default"/>
        <w:lang w:val="uk-UA" w:eastAsia="en-US" w:bidi="ar-SA"/>
      </w:rPr>
    </w:lvl>
    <w:lvl w:ilvl="2" w:tplc="55FAEEF6">
      <w:numFmt w:val="bullet"/>
      <w:lvlText w:val="•"/>
      <w:lvlJc w:val="left"/>
      <w:pPr>
        <w:ind w:left="2629" w:hanging="391"/>
      </w:pPr>
      <w:rPr>
        <w:rFonts w:hint="default"/>
        <w:lang w:val="uk-UA" w:eastAsia="en-US" w:bidi="ar-SA"/>
      </w:rPr>
    </w:lvl>
    <w:lvl w:ilvl="3" w:tplc="F4422762">
      <w:numFmt w:val="bullet"/>
      <w:lvlText w:val="•"/>
      <w:lvlJc w:val="left"/>
      <w:pPr>
        <w:ind w:left="3533" w:hanging="391"/>
      </w:pPr>
      <w:rPr>
        <w:rFonts w:hint="default"/>
        <w:lang w:val="uk-UA" w:eastAsia="en-US" w:bidi="ar-SA"/>
      </w:rPr>
    </w:lvl>
    <w:lvl w:ilvl="4" w:tplc="5C92BA08">
      <w:numFmt w:val="bullet"/>
      <w:lvlText w:val="•"/>
      <w:lvlJc w:val="left"/>
      <w:pPr>
        <w:ind w:left="4438" w:hanging="391"/>
      </w:pPr>
      <w:rPr>
        <w:rFonts w:hint="default"/>
        <w:lang w:val="uk-UA" w:eastAsia="en-US" w:bidi="ar-SA"/>
      </w:rPr>
    </w:lvl>
    <w:lvl w:ilvl="5" w:tplc="59F0E2E2">
      <w:numFmt w:val="bullet"/>
      <w:lvlText w:val="•"/>
      <w:lvlJc w:val="left"/>
      <w:pPr>
        <w:ind w:left="5343" w:hanging="391"/>
      </w:pPr>
      <w:rPr>
        <w:rFonts w:hint="default"/>
        <w:lang w:val="uk-UA" w:eastAsia="en-US" w:bidi="ar-SA"/>
      </w:rPr>
    </w:lvl>
    <w:lvl w:ilvl="6" w:tplc="AA8AF1C6">
      <w:numFmt w:val="bullet"/>
      <w:lvlText w:val="•"/>
      <w:lvlJc w:val="left"/>
      <w:pPr>
        <w:ind w:left="6247" w:hanging="391"/>
      </w:pPr>
      <w:rPr>
        <w:rFonts w:hint="default"/>
        <w:lang w:val="uk-UA" w:eastAsia="en-US" w:bidi="ar-SA"/>
      </w:rPr>
    </w:lvl>
    <w:lvl w:ilvl="7" w:tplc="CAF6BA36">
      <w:numFmt w:val="bullet"/>
      <w:lvlText w:val="•"/>
      <w:lvlJc w:val="left"/>
      <w:pPr>
        <w:ind w:left="7152" w:hanging="391"/>
      </w:pPr>
      <w:rPr>
        <w:rFonts w:hint="default"/>
        <w:lang w:val="uk-UA" w:eastAsia="en-US" w:bidi="ar-SA"/>
      </w:rPr>
    </w:lvl>
    <w:lvl w:ilvl="8" w:tplc="2528CD5E">
      <w:numFmt w:val="bullet"/>
      <w:lvlText w:val="•"/>
      <w:lvlJc w:val="left"/>
      <w:pPr>
        <w:ind w:left="8057" w:hanging="391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F0936"/>
    <w:rsid w:val="0011072D"/>
    <w:rsid w:val="001236B3"/>
    <w:rsid w:val="0050106B"/>
    <w:rsid w:val="007B42F7"/>
    <w:rsid w:val="00AF0936"/>
    <w:rsid w:val="00AF6CFB"/>
    <w:rsid w:val="00EB6CA8"/>
    <w:rsid w:val="00F2238A"/>
    <w:rsid w:val="00F332A1"/>
    <w:rsid w:val="00F74CC5"/>
    <w:rsid w:val="00FA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204" w:hanging="591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82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332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32A1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F332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2A1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204" w:hanging="591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82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332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32A1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F332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2A1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2023-12-03T12:46:00Z</dcterms:created>
  <dcterms:modified xsi:type="dcterms:W3CDTF">2023-12-03T12:46:00Z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2023-12-03T00:00:00Z</vt:filetime>
  </property>
  <property fmtid="{D5CDD505-2E9C-101B-9397-08002B2CF9AE}" pid="5" name="Producer">
    <vt:lpwstr>Microsoft® Word 2010</vt:lpwstr>
  </property>
</Properties>
</file>