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41" w:rsidRPr="00965A41" w:rsidRDefault="00965A41" w:rsidP="0096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41">
        <w:rPr>
          <w:rFonts w:ascii="Times New Roman" w:hAnsi="Times New Roman" w:cs="Times New Roman"/>
          <w:b/>
          <w:sz w:val="28"/>
          <w:szCs w:val="28"/>
        </w:rPr>
        <w:t>Інформація про дисципліну вільного вибору студента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577"/>
        <w:gridCol w:w="3544"/>
      </w:tblGrid>
      <w:tr w:rsidR="00CE6DD6" w:rsidRPr="00A345F6" w:rsidTr="00E47C54">
        <w:trPr>
          <w:trHeight w:val="34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Назва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A345F6" w:rsidRDefault="00310D32" w:rsidP="00431556">
            <w:pPr>
              <w:spacing w:after="0" w:line="240" w:lineRule="auto"/>
              <w:rPr>
                <w:rFonts w:ascii="Times New Roman" w:hAnsi="Times New Roman"/>
              </w:rPr>
            </w:pPr>
            <w:r w:rsidRPr="00310D32">
              <w:rPr>
                <w:rFonts w:ascii="Times New Roman" w:hAnsi="Times New Roman"/>
                <w:b/>
                <w:bCs/>
              </w:rPr>
              <w:t>МЕТОДИ ТА ЗАСОБИ ОБРОБКИ І ПЕРЕДАЧІ ІНФОРМАЦІЇ В СИСТЕМАХ І МЕРЕЖАХ ПЕРЕДАЧІ ДАНИХ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BB45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Семестр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CE6DD6" w:rsidRPr="00431556" w:rsidRDefault="00431556" w:rsidP="00BB45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6A53AC" w:rsidRPr="00A345F6" w:rsidTr="00E47C54">
        <w:trPr>
          <w:trHeight w:val="101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Кафедра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77E68" w:rsidRDefault="006A53AC" w:rsidP="006A53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Автоматизації та</w:t>
            </w:r>
            <w:r w:rsidRPr="00777E68">
              <w:rPr>
                <w:rFonts w:ascii="Times New Roman" w:hAnsi="Times New Roman" w:cs="Times New Roman"/>
              </w:rPr>
              <w:t xml:space="preserve"> комп’ютерно-інтегрованих технологій ім. проф. Б.Б. </w:t>
            </w:r>
            <w:proofErr w:type="spellStart"/>
            <w:r w:rsidRPr="00777E68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  <w:tr w:rsidR="006A53AC" w:rsidRPr="00A345F6" w:rsidTr="00E47C54">
        <w:trPr>
          <w:trHeight w:val="246"/>
        </w:trPr>
        <w:tc>
          <w:tcPr>
            <w:tcW w:w="3377" w:type="dxa"/>
            <w:shd w:val="clear" w:color="auto" w:fill="auto"/>
            <w:vAlign w:val="center"/>
          </w:tcPr>
          <w:p w:rsidR="006A53AC" w:rsidRPr="00A345F6" w:rsidRDefault="006A53AC" w:rsidP="006A53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Факультет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7C2C13" w:rsidRDefault="006A53AC" w:rsidP="006A53AC">
            <w:pPr>
              <w:spacing w:after="0" w:line="240" w:lineRule="auto"/>
              <w:rPr>
                <w:rFonts w:ascii="Times New Roman" w:hAnsi="Times New Roman"/>
              </w:rPr>
            </w:pPr>
            <w:r w:rsidRPr="003638B9">
              <w:rPr>
                <w:rFonts w:ascii="Times New Roman" w:hAnsi="Times New Roman"/>
              </w:rPr>
              <w:t xml:space="preserve">Факультет комп'ютерно-інтегрованих технологій, </w:t>
            </w:r>
            <w:proofErr w:type="spellStart"/>
            <w:r w:rsidRPr="003638B9">
              <w:rPr>
                <w:rFonts w:ascii="Times New Roman" w:hAnsi="Times New Roman"/>
              </w:rPr>
              <w:t>мехатроніки</w:t>
            </w:r>
            <w:proofErr w:type="spellEnd"/>
            <w:r w:rsidRPr="003638B9">
              <w:rPr>
                <w:rFonts w:ascii="Times New Roman" w:hAnsi="Times New Roman"/>
              </w:rPr>
              <w:t xml:space="preserve"> і робототехніки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Короткий опис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6A53AC" w:rsidRPr="000B593A" w:rsidRDefault="007D66AC" w:rsidP="005E48F9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45F6">
              <w:rPr>
                <w:rFonts w:ascii="Times New Roman" w:eastAsia="Times New Roman" w:hAnsi="Times New Roman" w:cs="Times New Roman"/>
              </w:rPr>
              <w:t xml:space="preserve">Під час вивчення курсу </w:t>
            </w:r>
            <w:r w:rsidR="0007291A">
              <w:rPr>
                <w:rFonts w:ascii="Times New Roman" w:eastAsia="Times New Roman" w:hAnsi="Times New Roman" w:cs="Times New Roman"/>
              </w:rPr>
              <w:t>здобувачі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матим</w:t>
            </w:r>
            <w:r w:rsidR="00F2695C">
              <w:rPr>
                <w:rFonts w:ascii="Times New Roman" w:eastAsia="Times New Roman" w:hAnsi="Times New Roman" w:cs="Times New Roman"/>
              </w:rPr>
              <w:t>уть</w:t>
            </w:r>
            <w:r w:rsidRPr="00A345F6">
              <w:rPr>
                <w:rFonts w:ascii="Times New Roman" w:eastAsia="Times New Roman" w:hAnsi="Times New Roman" w:cs="Times New Roman"/>
              </w:rPr>
              <w:t xml:space="preserve"> змогу </w:t>
            </w:r>
            <w:r w:rsidR="000969FD">
              <w:rPr>
                <w:rFonts w:ascii="Times New Roman" w:eastAsia="Times New Roman" w:hAnsi="Times New Roman" w:cs="Times New Roman"/>
              </w:rPr>
              <w:t xml:space="preserve">ознайомитись із </w:t>
            </w:r>
            <w:r w:rsidR="003B2BEB">
              <w:rPr>
                <w:rFonts w:ascii="Times New Roman" w:eastAsia="Times New Roman" w:hAnsi="Times New Roman" w:cs="Times New Roman"/>
              </w:rPr>
              <w:t xml:space="preserve">принципами реалізації інформаційного обміну між різного роду пристроями, контролерами та керуючими комп’ютерами в системах керування та передачі інформації, способами інформаційного обміну, видами шин, </w:t>
            </w:r>
            <w:r w:rsidR="0007291A">
              <w:rPr>
                <w:rFonts w:ascii="Times New Roman" w:eastAsia="Times New Roman" w:hAnsi="Times New Roman" w:cs="Times New Roman"/>
              </w:rPr>
              <w:t>типови</w:t>
            </w:r>
            <w:r w:rsidR="0007291A">
              <w:rPr>
                <w:rFonts w:ascii="Times New Roman" w:eastAsia="Times New Roman" w:hAnsi="Times New Roman" w:cs="Times New Roman"/>
              </w:rPr>
              <w:t>м</w:t>
            </w:r>
            <w:r w:rsidR="0007291A">
              <w:rPr>
                <w:rFonts w:ascii="Times New Roman" w:eastAsia="Times New Roman" w:hAnsi="Times New Roman" w:cs="Times New Roman"/>
              </w:rPr>
              <w:t xml:space="preserve"> </w:t>
            </w:r>
            <w:r w:rsidR="003B2BEB">
              <w:rPr>
                <w:rFonts w:ascii="Times New Roman" w:eastAsia="Times New Roman" w:hAnsi="Times New Roman" w:cs="Times New Roman"/>
              </w:rPr>
              <w:t xml:space="preserve">складом керуючих сигналів в інтерфейсах, способами адресації пристроїв, типовими </w:t>
            </w:r>
            <w:proofErr w:type="spellStart"/>
            <w:r w:rsidR="003B2BEB">
              <w:rPr>
                <w:rFonts w:ascii="Times New Roman" w:eastAsia="Times New Roman" w:hAnsi="Times New Roman" w:cs="Times New Roman"/>
              </w:rPr>
              <w:t>топологіями</w:t>
            </w:r>
            <w:proofErr w:type="spellEnd"/>
            <w:r w:rsidR="003B2BEB">
              <w:rPr>
                <w:rFonts w:ascii="Times New Roman" w:eastAsia="Times New Roman" w:hAnsi="Times New Roman" w:cs="Times New Roman"/>
              </w:rPr>
              <w:t xml:space="preserve"> з’єднань пристроїв, засобами гальванічної розв’язки та перетворення рівнів сигналів, </w:t>
            </w:r>
            <w:r w:rsidR="0007291A">
              <w:rPr>
                <w:rFonts w:ascii="Times New Roman" w:eastAsia="Times New Roman" w:hAnsi="Times New Roman" w:cs="Times New Roman"/>
              </w:rPr>
              <w:t xml:space="preserve">вивчити ряд поширених мікропроцесорних шин та інтерфейсів, а також способи </w:t>
            </w:r>
            <w:r w:rsidR="005E48F9">
              <w:rPr>
                <w:rFonts w:ascii="Times New Roman" w:eastAsia="Times New Roman" w:hAnsi="Times New Roman" w:cs="Times New Roman"/>
              </w:rPr>
              <w:t>формування</w:t>
            </w:r>
            <w:r w:rsidR="0007291A">
              <w:rPr>
                <w:rFonts w:ascii="Times New Roman" w:eastAsia="Times New Roman" w:hAnsi="Times New Roman" w:cs="Times New Roman"/>
              </w:rPr>
              <w:t xml:space="preserve"> та передачі інформаційних повідомлень </w:t>
            </w:r>
            <w:r w:rsidR="006229F7">
              <w:rPr>
                <w:rFonts w:ascii="Times New Roman" w:eastAsia="Times New Roman" w:hAnsi="Times New Roman" w:cs="Times New Roman"/>
              </w:rPr>
              <w:t xml:space="preserve">згідно визначених протоколів </w:t>
            </w:r>
            <w:r w:rsidR="0007291A">
              <w:rPr>
                <w:rFonts w:ascii="Times New Roman" w:eastAsia="Times New Roman" w:hAnsi="Times New Roman" w:cs="Times New Roman"/>
              </w:rPr>
              <w:t xml:space="preserve">в </w:t>
            </w:r>
            <w:r w:rsidR="0007291A">
              <w:rPr>
                <w:rFonts w:ascii="Times New Roman" w:eastAsia="Times New Roman" w:hAnsi="Times New Roman" w:cs="Times New Roman"/>
              </w:rPr>
              <w:t>системах керування та передачі інформації</w:t>
            </w:r>
            <w:r w:rsidR="000969F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7E036A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Мета </w:t>
            </w:r>
            <w:r w:rsidR="007E036A">
              <w:rPr>
                <w:rFonts w:ascii="Times New Roman" w:hAnsi="Times New Roman" w:cs="Times New Roman"/>
                <w:color w:val="000000" w:themeColor="text1"/>
              </w:rPr>
              <w:t>і задачі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дисципліни</w:t>
            </w:r>
          </w:p>
        </w:tc>
        <w:tc>
          <w:tcPr>
            <w:tcW w:w="6121" w:type="dxa"/>
            <w:gridSpan w:val="2"/>
            <w:shd w:val="clear" w:color="auto" w:fill="auto"/>
          </w:tcPr>
          <w:p w:rsidR="007D66AC" w:rsidRPr="00C13BCD" w:rsidRDefault="00CE6DD6" w:rsidP="00CE6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  <w:b/>
              </w:rPr>
              <w:t>Мета</w:t>
            </w:r>
            <w:r w:rsidRPr="00C13BCD">
              <w:rPr>
                <w:rFonts w:ascii="Times New Roman" w:eastAsia="Calibri" w:hAnsi="Times New Roman" w:cs="Times New Roman"/>
              </w:rPr>
              <w:t xml:space="preserve"> вивчення дисципліни – </w:t>
            </w:r>
            <w:r w:rsidR="00423E9F" w:rsidRPr="00C13BCD">
              <w:rPr>
                <w:rFonts w:ascii="Times New Roman" w:eastAsia="Calibri" w:hAnsi="Times New Roman" w:cs="Times New Roman"/>
              </w:rPr>
              <w:t xml:space="preserve">формування уявлення, знань, вмінь та навичок </w:t>
            </w:r>
            <w:r w:rsidR="00C25F3A" w:rsidRPr="00C13BCD">
              <w:rPr>
                <w:rFonts w:ascii="Times New Roman" w:eastAsia="Calibri" w:hAnsi="Times New Roman" w:cs="Times New Roman"/>
              </w:rPr>
              <w:t>здобувачів</w:t>
            </w:r>
            <w:r w:rsidR="00423E9F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BE0F77" w:rsidRPr="00C13BCD">
              <w:rPr>
                <w:rFonts w:ascii="Times New Roman" w:eastAsia="Calibri" w:hAnsi="Times New Roman" w:cs="Times New Roman"/>
              </w:rPr>
              <w:t>щодо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сучасни</w:t>
            </w:r>
            <w:r w:rsidR="00BE0F77" w:rsidRPr="00C13BCD">
              <w:rPr>
                <w:rFonts w:ascii="Times New Roman" w:eastAsia="Calibri" w:hAnsi="Times New Roman" w:cs="Times New Roman"/>
              </w:rPr>
              <w:t>х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засоб</w:t>
            </w:r>
            <w:r w:rsidR="00BE0F77" w:rsidRPr="00C13BCD">
              <w:rPr>
                <w:rFonts w:ascii="Times New Roman" w:eastAsia="Calibri" w:hAnsi="Times New Roman" w:cs="Times New Roman"/>
              </w:rPr>
              <w:t>ів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C25F3A" w:rsidRPr="00C13BCD">
              <w:rPr>
                <w:rFonts w:ascii="Times New Roman" w:eastAsia="Calibri" w:hAnsi="Times New Roman" w:cs="Times New Roman"/>
              </w:rPr>
              <w:t xml:space="preserve">інформаційного обміну </w:t>
            </w:r>
            <w:r w:rsidR="00181386">
              <w:rPr>
                <w:rFonts w:ascii="Times New Roman" w:eastAsia="Calibri" w:hAnsi="Times New Roman" w:cs="Times New Roman"/>
              </w:rPr>
              <w:t xml:space="preserve">в </w:t>
            </w:r>
            <w:r w:rsidR="00C25F3A" w:rsidRPr="00C13BCD">
              <w:rPr>
                <w:rFonts w:ascii="Times New Roman" w:eastAsia="Times New Roman" w:hAnsi="Times New Roman" w:cs="Times New Roman"/>
              </w:rPr>
              <w:t>системах керування та передачі інформації</w:t>
            </w:r>
            <w:r w:rsidR="00C25F3A" w:rsidRPr="00C13BCD">
              <w:rPr>
                <w:rFonts w:ascii="Times New Roman" w:eastAsia="Times New Roman" w:hAnsi="Times New Roman" w:cs="Times New Roman"/>
              </w:rPr>
              <w:t xml:space="preserve">, 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зокрема </w:t>
            </w:r>
            <w:r w:rsidR="005E48F9">
              <w:rPr>
                <w:rFonts w:ascii="Times New Roman" w:eastAsia="Calibri" w:hAnsi="Times New Roman" w:cs="Times New Roman"/>
              </w:rPr>
              <w:t>щодо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231AB4" w:rsidRPr="00C13BCD">
              <w:rPr>
                <w:rFonts w:ascii="Times New Roman" w:eastAsia="Calibri" w:hAnsi="Times New Roman" w:cs="Times New Roman"/>
              </w:rPr>
              <w:t>архітектур</w:t>
            </w:r>
            <w:r w:rsidR="005E48F9">
              <w:rPr>
                <w:rFonts w:ascii="Times New Roman" w:eastAsia="Calibri" w:hAnsi="Times New Roman" w:cs="Times New Roman"/>
              </w:rPr>
              <w:t>и</w:t>
            </w:r>
            <w:r w:rsidR="00231AB4" w:rsidRPr="00C13BC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231AB4" w:rsidRPr="00C13BCD">
              <w:rPr>
                <w:rFonts w:ascii="Times New Roman" w:eastAsia="Calibri" w:hAnsi="Times New Roman" w:cs="Times New Roman"/>
              </w:rPr>
              <w:t>топологі</w:t>
            </w:r>
            <w:r w:rsidR="005E48F9">
              <w:rPr>
                <w:rFonts w:ascii="Times New Roman" w:eastAsia="Calibri" w:hAnsi="Times New Roman" w:cs="Times New Roman"/>
              </w:rPr>
              <w:t>й</w:t>
            </w:r>
            <w:proofErr w:type="spellEnd"/>
            <w:r w:rsidR="00231AB4" w:rsidRPr="00C13BCD">
              <w:rPr>
                <w:rFonts w:ascii="Times New Roman" w:eastAsia="Calibri" w:hAnsi="Times New Roman" w:cs="Times New Roman"/>
              </w:rPr>
              <w:t xml:space="preserve">, </w:t>
            </w:r>
            <w:r w:rsidR="00936DE8" w:rsidRPr="00C13BCD">
              <w:rPr>
                <w:rFonts w:ascii="Times New Roman" w:eastAsia="Calibri" w:hAnsi="Times New Roman" w:cs="Times New Roman"/>
              </w:rPr>
              <w:t>принцип</w:t>
            </w:r>
            <w:r w:rsidR="005E48F9">
              <w:rPr>
                <w:rFonts w:ascii="Times New Roman" w:eastAsia="Calibri" w:hAnsi="Times New Roman" w:cs="Times New Roman"/>
              </w:rPr>
              <w:t>ів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будови, функціонування та </w:t>
            </w:r>
            <w:r w:rsidR="00231AB4" w:rsidRPr="00C13BCD">
              <w:rPr>
                <w:rFonts w:ascii="Times New Roman" w:eastAsia="Calibri" w:hAnsi="Times New Roman" w:cs="Times New Roman"/>
              </w:rPr>
              <w:t xml:space="preserve">організації шин та інтерфейсів, а також </w:t>
            </w:r>
            <w:r w:rsidR="005E48F9">
              <w:rPr>
                <w:rFonts w:ascii="Times New Roman" w:eastAsia="Times New Roman" w:hAnsi="Times New Roman" w:cs="Times New Roman"/>
              </w:rPr>
              <w:t>методів та алгоритмів</w:t>
            </w:r>
            <w:r w:rsidR="00231AB4" w:rsidRPr="00C13BCD">
              <w:rPr>
                <w:rFonts w:ascii="Times New Roman" w:eastAsia="Times New Roman" w:hAnsi="Times New Roman" w:cs="Times New Roman"/>
              </w:rPr>
              <w:t xml:space="preserve"> передач</w:t>
            </w:r>
            <w:r w:rsidR="005E48F9">
              <w:rPr>
                <w:rFonts w:ascii="Times New Roman" w:eastAsia="Times New Roman" w:hAnsi="Times New Roman" w:cs="Times New Roman"/>
              </w:rPr>
              <w:t>і</w:t>
            </w:r>
            <w:r w:rsidR="00231AB4" w:rsidRPr="00C13BCD">
              <w:rPr>
                <w:rFonts w:ascii="Times New Roman" w:eastAsia="Times New Roman" w:hAnsi="Times New Roman" w:cs="Times New Roman"/>
              </w:rPr>
              <w:t xml:space="preserve"> інформаційних повідомлень</w:t>
            </w:r>
            <w:r w:rsidR="006229F7" w:rsidRPr="00C13BCD">
              <w:rPr>
                <w:rFonts w:ascii="Times New Roman" w:eastAsia="Times New Roman" w:hAnsi="Times New Roman" w:cs="Times New Roman"/>
              </w:rPr>
              <w:t xml:space="preserve"> за необхідними протоколами</w:t>
            </w:r>
            <w:r w:rsidR="00231AB4" w:rsidRPr="00C13BCD">
              <w:rPr>
                <w:rFonts w:ascii="Times New Roman" w:eastAsia="Calibri" w:hAnsi="Times New Roman" w:cs="Times New Roman"/>
              </w:rPr>
              <w:t xml:space="preserve"> в </w:t>
            </w:r>
            <w:r w:rsidR="00231AB4" w:rsidRPr="00C13BCD">
              <w:rPr>
                <w:rFonts w:ascii="Times New Roman" w:eastAsia="Times New Roman" w:hAnsi="Times New Roman" w:cs="Times New Roman"/>
              </w:rPr>
              <w:t>системах керування та передачі інформації</w:t>
            </w:r>
            <w:r w:rsidR="00936DE8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231AB4" w:rsidRPr="00C13BCD">
              <w:rPr>
                <w:rFonts w:ascii="Times New Roman" w:eastAsia="Calibri" w:hAnsi="Times New Roman" w:cs="Times New Roman"/>
              </w:rPr>
              <w:t xml:space="preserve">для вирішення </w:t>
            </w:r>
            <w:r w:rsidR="00936DE8" w:rsidRPr="00C13BCD">
              <w:rPr>
                <w:rFonts w:ascii="Times New Roman" w:eastAsia="Calibri" w:hAnsi="Times New Roman" w:cs="Times New Roman"/>
              </w:rPr>
              <w:t>прикладних технічних задач.</w:t>
            </w:r>
          </w:p>
          <w:p w:rsidR="007E036A" w:rsidRPr="00C13BCD" w:rsidRDefault="007E036A" w:rsidP="007E0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  <w:b/>
              </w:rPr>
              <w:t>Задачі</w:t>
            </w:r>
            <w:r w:rsidR="00CE6DD6" w:rsidRPr="00C13BCD">
              <w:rPr>
                <w:rFonts w:ascii="Times New Roman" w:eastAsia="Calibri" w:hAnsi="Times New Roman" w:cs="Times New Roman"/>
              </w:rPr>
              <w:t xml:space="preserve"> дисципліни</w:t>
            </w:r>
            <w:r w:rsidRPr="00C13BCD">
              <w:rPr>
                <w:rFonts w:ascii="Times New Roman" w:eastAsia="Calibri" w:hAnsi="Times New Roman" w:cs="Times New Roman"/>
              </w:rPr>
              <w:t>:</w:t>
            </w:r>
          </w:p>
          <w:p w:rsidR="007E036A" w:rsidRPr="00C13BCD" w:rsidRDefault="007E036A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 xml:space="preserve">1) знати та розуміти </w:t>
            </w:r>
            <w:r w:rsidRPr="00C13BCD">
              <w:rPr>
                <w:rFonts w:ascii="Times New Roman" w:eastAsia="Times New Roman" w:hAnsi="Times New Roman" w:cs="Times New Roman"/>
              </w:rPr>
              <w:t>принципи реалізації інформаційного обміну між різного роду пристроями, контролерами та керуючими комп’ютерами в системах керування та передачі інформації</w:t>
            </w:r>
            <w:r w:rsidR="008B050B">
              <w:rPr>
                <w:rFonts w:ascii="Times New Roman" w:eastAsia="Times New Roman" w:hAnsi="Times New Roman" w:cs="Times New Roman"/>
              </w:rPr>
              <w:t xml:space="preserve"> </w:t>
            </w:r>
            <w:r w:rsidR="008B050B" w:rsidRPr="00C13BCD">
              <w:rPr>
                <w:rFonts w:ascii="Times New Roman" w:eastAsia="Times New Roman" w:hAnsi="Times New Roman" w:cs="Times New Roman"/>
              </w:rPr>
              <w:t xml:space="preserve">(точка до точки та шина, синхронний та асинхронний обмін, шляхом опитування та за перериваннями, одно- та </w:t>
            </w:r>
            <w:proofErr w:type="spellStart"/>
            <w:r w:rsidR="008B050B" w:rsidRPr="00C13BCD">
              <w:rPr>
                <w:rFonts w:ascii="Times New Roman" w:eastAsia="Times New Roman" w:hAnsi="Times New Roman" w:cs="Times New Roman"/>
              </w:rPr>
              <w:t>двонаправлений</w:t>
            </w:r>
            <w:proofErr w:type="spellEnd"/>
            <w:r w:rsidR="008B050B" w:rsidRPr="00C13BCD">
              <w:rPr>
                <w:rFonts w:ascii="Times New Roman" w:eastAsia="Times New Roman" w:hAnsi="Times New Roman" w:cs="Times New Roman"/>
              </w:rPr>
              <w:t xml:space="preserve">, повно- та </w:t>
            </w:r>
            <w:proofErr w:type="spellStart"/>
            <w:r w:rsidR="008B050B" w:rsidRPr="00C13BCD">
              <w:rPr>
                <w:rFonts w:ascii="Times New Roman" w:eastAsia="Times New Roman" w:hAnsi="Times New Roman" w:cs="Times New Roman"/>
              </w:rPr>
              <w:t>напівдуплексний</w:t>
            </w:r>
            <w:proofErr w:type="spellEnd"/>
            <w:r w:rsidR="008B050B" w:rsidRPr="00C13BCD">
              <w:rPr>
                <w:rFonts w:ascii="Times New Roman" w:eastAsia="Times New Roman" w:hAnsi="Times New Roman" w:cs="Times New Roman"/>
              </w:rPr>
              <w:t xml:space="preserve"> тощо)</w:t>
            </w:r>
            <w:r w:rsidRPr="00C13BCD">
              <w:rPr>
                <w:rFonts w:ascii="Times New Roman" w:eastAsia="Times New Roman" w:hAnsi="Times New Roman" w:cs="Times New Roman"/>
              </w:rPr>
              <w:t>;</w:t>
            </w:r>
          </w:p>
          <w:p w:rsidR="00E444FA" w:rsidRPr="00C13BCD" w:rsidRDefault="007E036A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 xml:space="preserve">2) </w:t>
            </w:r>
            <w:r w:rsidR="00E444FA" w:rsidRPr="00C13BCD">
              <w:rPr>
                <w:rFonts w:ascii="Times New Roman" w:eastAsia="Calibri" w:hAnsi="Times New Roman" w:cs="Times New Roman"/>
              </w:rPr>
              <w:t xml:space="preserve">знати </w:t>
            </w:r>
            <w:r w:rsidR="00E444FA" w:rsidRPr="00C13BCD">
              <w:rPr>
                <w:rFonts w:ascii="Times New Roman" w:eastAsia="Times New Roman" w:hAnsi="Times New Roman" w:cs="Times New Roman"/>
              </w:rPr>
              <w:t>види шин</w:t>
            </w:r>
            <w:r w:rsidR="00E444FA" w:rsidRPr="00C13BCD">
              <w:rPr>
                <w:rFonts w:ascii="Times New Roman" w:eastAsia="Times New Roman" w:hAnsi="Times New Roman" w:cs="Times New Roman"/>
              </w:rPr>
              <w:t xml:space="preserve"> </w:t>
            </w:r>
            <w:r w:rsidR="00E444FA" w:rsidRPr="00C13BCD">
              <w:rPr>
                <w:rFonts w:ascii="Times New Roman" w:eastAsia="Calibri" w:hAnsi="Times New Roman" w:cs="Times New Roman"/>
              </w:rPr>
              <w:t xml:space="preserve">та </w:t>
            </w:r>
            <w:r w:rsidR="00E444FA" w:rsidRPr="00C13BCD">
              <w:rPr>
                <w:rFonts w:ascii="Times New Roman" w:eastAsia="Calibri" w:hAnsi="Times New Roman" w:cs="Times New Roman"/>
              </w:rPr>
              <w:t>інтерфейсів (послідовні, паралельні), фізичні та логічні топології з’єднань (шина, кільце, зірка тощо);</w:t>
            </w:r>
          </w:p>
          <w:p w:rsidR="00E444FA" w:rsidRPr="00C13BCD" w:rsidRDefault="00E444FA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>3) знати та розуміти ролі учасників інформаційного обміну</w:t>
            </w:r>
            <w:r w:rsidR="008B050B">
              <w:rPr>
                <w:rFonts w:ascii="Times New Roman" w:eastAsia="Calibri" w:hAnsi="Times New Roman" w:cs="Times New Roman"/>
              </w:rPr>
              <w:t xml:space="preserve"> та </w:t>
            </w:r>
            <w:r w:rsidR="008B050B">
              <w:rPr>
                <w:rFonts w:ascii="Times New Roman" w:eastAsia="Calibri" w:hAnsi="Times New Roman" w:cs="Times New Roman"/>
              </w:rPr>
              <w:t xml:space="preserve"> </w:t>
            </w:r>
            <w:r w:rsidR="008B050B">
              <w:rPr>
                <w:rFonts w:ascii="Times New Roman" w:eastAsia="Calibri" w:hAnsi="Times New Roman" w:cs="Times New Roman"/>
              </w:rPr>
              <w:t>їх</w:t>
            </w:r>
            <w:r w:rsidR="008B050B" w:rsidRPr="00C13BCD">
              <w:rPr>
                <w:rFonts w:ascii="Times New Roman" w:eastAsia="Calibri" w:hAnsi="Times New Roman" w:cs="Times New Roman"/>
              </w:rPr>
              <w:t xml:space="preserve"> </w:t>
            </w:r>
            <w:r w:rsidR="008B050B">
              <w:rPr>
                <w:rFonts w:ascii="Times New Roman" w:eastAsia="Calibri" w:hAnsi="Times New Roman" w:cs="Times New Roman"/>
              </w:rPr>
              <w:t>методи</w:t>
            </w:r>
            <w:r w:rsidR="008B050B" w:rsidRPr="00C13BCD">
              <w:rPr>
                <w:rFonts w:ascii="Times New Roman" w:eastAsia="Calibri" w:hAnsi="Times New Roman" w:cs="Times New Roman"/>
              </w:rPr>
              <w:t xml:space="preserve"> взаємодії</w:t>
            </w:r>
            <w:r w:rsidRPr="00C13BCD">
              <w:rPr>
                <w:rFonts w:ascii="Times New Roman" w:eastAsia="Calibri" w:hAnsi="Times New Roman" w:cs="Times New Roman"/>
              </w:rPr>
              <w:t xml:space="preserve"> (ведучий-ведений, передавач-приймач)</w:t>
            </w:r>
            <w:r w:rsidR="00F025FB" w:rsidRPr="00F025FB">
              <w:rPr>
                <w:rFonts w:ascii="Times New Roman" w:eastAsia="Calibri" w:hAnsi="Times New Roman" w:cs="Times New Roman"/>
              </w:rPr>
              <w:t xml:space="preserve">, </w:t>
            </w:r>
            <w:r w:rsidR="00F025FB">
              <w:rPr>
                <w:rFonts w:ascii="Times New Roman" w:eastAsia="Calibri" w:hAnsi="Times New Roman" w:cs="Times New Roman"/>
              </w:rPr>
              <w:t xml:space="preserve">а також </w:t>
            </w:r>
            <w:r w:rsidR="00F025FB" w:rsidRPr="00C13BCD">
              <w:rPr>
                <w:rFonts w:ascii="Times New Roman" w:eastAsia="Calibri" w:hAnsi="Times New Roman" w:cs="Times New Roman"/>
              </w:rPr>
              <w:t>типові керуючі сигнали в інтерфейсах</w:t>
            </w:r>
            <w:r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C13BCD" w:rsidRPr="00C13BCD" w:rsidRDefault="00E444FA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 xml:space="preserve">4) </w:t>
            </w:r>
            <w:r w:rsidR="00C13BCD" w:rsidRPr="00C13BCD">
              <w:rPr>
                <w:rFonts w:ascii="Times New Roman" w:eastAsia="Calibri" w:hAnsi="Times New Roman" w:cs="Times New Roman"/>
              </w:rPr>
              <w:t>знати способи адресації пристроїв;</w:t>
            </w:r>
          </w:p>
          <w:p w:rsidR="00C13BCD" w:rsidRPr="00C13BCD" w:rsidRDefault="00C13BCD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>5) засоби реалізації гальванічної розв’язки та перетворення рівнів сигналів;</w:t>
            </w:r>
          </w:p>
          <w:p w:rsidR="00C13BCD" w:rsidRPr="00C13BCD" w:rsidRDefault="00C13BCD" w:rsidP="00E44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>6) знати принципи організації поширених мікропроцесорних шин та інтерфейсів (RS-232</w:t>
            </w:r>
            <w:r w:rsidR="00900FCE">
              <w:rPr>
                <w:rFonts w:ascii="Times New Roman" w:eastAsia="Calibri" w:hAnsi="Times New Roman" w:cs="Times New Roman"/>
              </w:rPr>
              <w:t xml:space="preserve"> / </w:t>
            </w:r>
            <w:r w:rsidR="00900FCE">
              <w:rPr>
                <w:rFonts w:ascii="Times New Roman" w:eastAsia="Calibri" w:hAnsi="Times New Roman" w:cs="Times New Roman"/>
                <w:lang w:val="en-US"/>
              </w:rPr>
              <w:t>UART</w:t>
            </w:r>
            <w:r w:rsidRPr="00C13BCD">
              <w:rPr>
                <w:rFonts w:ascii="Times New Roman" w:eastAsia="Calibri" w:hAnsi="Times New Roman" w:cs="Times New Roman"/>
              </w:rPr>
              <w:t>, I2C, SPI)</w:t>
            </w:r>
            <w:r w:rsidR="00900FCE">
              <w:rPr>
                <w:rFonts w:ascii="Times New Roman" w:eastAsia="Calibri" w:hAnsi="Times New Roman" w:cs="Times New Roman"/>
              </w:rPr>
              <w:t xml:space="preserve"> та вміти їх застосовувати для реалізації інформаційного обміну</w:t>
            </w:r>
            <w:r w:rsidRPr="00C13BCD">
              <w:rPr>
                <w:rFonts w:ascii="Times New Roman" w:eastAsia="Calibri" w:hAnsi="Times New Roman" w:cs="Times New Roman"/>
              </w:rPr>
              <w:t>;</w:t>
            </w:r>
          </w:p>
          <w:p w:rsidR="00CE6DD6" w:rsidRPr="00C13BCD" w:rsidRDefault="00C13BCD" w:rsidP="007B57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13BCD">
              <w:rPr>
                <w:rFonts w:ascii="Times New Roman" w:eastAsia="Calibri" w:hAnsi="Times New Roman" w:cs="Times New Roman"/>
              </w:rPr>
              <w:t>7) вміти зас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C13BCD">
              <w:rPr>
                <w:rFonts w:ascii="Times New Roman" w:eastAsia="Calibri" w:hAnsi="Times New Roman" w:cs="Times New Roman"/>
              </w:rPr>
              <w:t xml:space="preserve">осовувати </w:t>
            </w:r>
            <w:r w:rsidR="00CA29D3">
              <w:rPr>
                <w:rFonts w:ascii="Times New Roman" w:eastAsia="Calibri" w:hAnsi="Times New Roman" w:cs="Times New Roman"/>
              </w:rPr>
              <w:t>існуючі</w:t>
            </w:r>
            <w:r w:rsidR="007B5759">
              <w:rPr>
                <w:rFonts w:ascii="Times New Roman" w:eastAsia="Calibri" w:hAnsi="Times New Roman" w:cs="Times New Roman"/>
              </w:rPr>
              <w:t>, а також</w:t>
            </w:r>
            <w:r w:rsidRPr="00C13BCD">
              <w:rPr>
                <w:rFonts w:ascii="Times New Roman" w:eastAsia="Calibri" w:hAnsi="Times New Roman" w:cs="Times New Roman"/>
              </w:rPr>
              <w:t xml:space="preserve"> розробляти </w:t>
            </w:r>
            <w:r>
              <w:rPr>
                <w:rFonts w:ascii="Times New Roman" w:eastAsia="Calibri" w:hAnsi="Times New Roman" w:cs="Times New Roman"/>
              </w:rPr>
              <w:t xml:space="preserve">свої </w:t>
            </w:r>
            <w:r w:rsidRPr="00C13BCD">
              <w:rPr>
                <w:rFonts w:ascii="Times New Roman" w:eastAsia="Calibri" w:hAnsi="Times New Roman" w:cs="Times New Roman"/>
              </w:rPr>
              <w:t xml:space="preserve">протоколи інформаційного обміну для </w:t>
            </w:r>
            <w:r w:rsidRPr="00C13BCD">
              <w:rPr>
                <w:rFonts w:ascii="Times New Roman" w:eastAsia="Times New Roman" w:hAnsi="Times New Roman" w:cs="Times New Roman"/>
              </w:rPr>
              <w:t>організаці</w:t>
            </w:r>
            <w:r w:rsidRPr="00C13BCD">
              <w:rPr>
                <w:rFonts w:ascii="Times New Roman" w:eastAsia="Times New Roman" w:hAnsi="Times New Roman" w:cs="Times New Roman"/>
              </w:rPr>
              <w:t>ї</w:t>
            </w:r>
            <w:r w:rsidRPr="00C13BCD">
              <w:rPr>
                <w:rFonts w:ascii="Times New Roman" w:eastAsia="Times New Roman" w:hAnsi="Times New Roman" w:cs="Times New Roman"/>
              </w:rPr>
              <w:t xml:space="preserve"> та передач</w:t>
            </w:r>
            <w:r w:rsidRPr="00C13BCD">
              <w:rPr>
                <w:rFonts w:ascii="Times New Roman" w:eastAsia="Times New Roman" w:hAnsi="Times New Roman" w:cs="Times New Roman"/>
              </w:rPr>
              <w:t>і</w:t>
            </w:r>
            <w:r w:rsidRPr="00C13BCD">
              <w:rPr>
                <w:rFonts w:ascii="Times New Roman" w:eastAsia="Times New Roman" w:hAnsi="Times New Roman" w:cs="Times New Roman"/>
              </w:rPr>
              <w:t xml:space="preserve"> інформаційних повідомлень</w:t>
            </w:r>
            <w:r w:rsidRPr="00C13BCD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C13BCD">
              <w:rPr>
                <w:rFonts w:ascii="Times New Roman" w:eastAsia="Times New Roman" w:hAnsi="Times New Roman" w:cs="Times New Roman"/>
              </w:rPr>
              <w:t>системах керування та передачі інформації</w:t>
            </w:r>
            <w:r w:rsidR="00CA29D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6DD6" w:rsidRPr="00A345F6" w:rsidTr="00E47C54">
        <w:trPr>
          <w:trHeight w:val="820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lastRenderedPageBreak/>
              <w:t>Результати навчання (навички, що отримає студент після курсу)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0B593A" w:rsidRPr="00A345F6" w:rsidRDefault="00E45BF4" w:rsidP="00281B83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процесі вивчення дисципліни 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>здобувачі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матимуть змогу навчитися 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 xml:space="preserve">застосовувати існуючі мікропроцесорні шини та інтерфейси для реалізації 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>інформаційного обміну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1B83" w:rsidRPr="00C13BCD">
              <w:rPr>
                <w:rFonts w:ascii="Times New Roman" w:eastAsia="Times New Roman" w:hAnsi="Times New Roman" w:cs="Times New Roman"/>
              </w:rPr>
              <w:t>в системах керування та передачі інформації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81B83">
              <w:rPr>
                <w:rFonts w:ascii="Times New Roman" w:hAnsi="Times New Roman" w:cs="Times New Roman"/>
                <w:color w:val="000000" w:themeColor="text1"/>
              </w:rPr>
              <w:t xml:space="preserve"> використовувати </w:t>
            </w:r>
            <w:r w:rsidR="00281B83">
              <w:rPr>
                <w:rFonts w:ascii="Times New Roman" w:eastAsia="Calibri" w:hAnsi="Times New Roman" w:cs="Times New Roman"/>
              </w:rPr>
              <w:t>існуючі, а також</w:t>
            </w:r>
            <w:r w:rsidR="00281B83" w:rsidRPr="00C13BCD">
              <w:rPr>
                <w:rFonts w:ascii="Times New Roman" w:eastAsia="Calibri" w:hAnsi="Times New Roman" w:cs="Times New Roman"/>
              </w:rPr>
              <w:t xml:space="preserve"> розробляти </w:t>
            </w:r>
            <w:r w:rsidR="00281B83">
              <w:rPr>
                <w:rFonts w:ascii="Times New Roman" w:eastAsia="Calibri" w:hAnsi="Times New Roman" w:cs="Times New Roman"/>
              </w:rPr>
              <w:t xml:space="preserve">свої </w:t>
            </w:r>
            <w:r w:rsidR="00281B83" w:rsidRPr="00C13BCD">
              <w:rPr>
                <w:rFonts w:ascii="Times New Roman" w:eastAsia="Calibri" w:hAnsi="Times New Roman" w:cs="Times New Roman"/>
              </w:rPr>
              <w:t xml:space="preserve">протоколи інформаційного обміну для </w:t>
            </w:r>
            <w:r w:rsidR="00281B83" w:rsidRPr="00C13BCD">
              <w:rPr>
                <w:rFonts w:ascii="Times New Roman" w:eastAsia="Times New Roman" w:hAnsi="Times New Roman" w:cs="Times New Roman"/>
              </w:rPr>
              <w:t>організації та передачі інформаційних повідомлень</w:t>
            </w:r>
            <w:r w:rsidR="000B59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E6DD6" w:rsidRPr="00A345F6" w:rsidTr="00E45BF4">
        <w:trPr>
          <w:trHeight w:val="551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Перелік тем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E86393" w:rsidRDefault="006C5BE5" w:rsidP="002D4B72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 </w:t>
            </w:r>
            <w:r w:rsidR="0080663D" w:rsidRPr="0080663D">
              <w:rPr>
                <w:rFonts w:eastAsia="Calibri"/>
                <w:sz w:val="22"/>
                <w:szCs w:val="22"/>
              </w:rPr>
              <w:t>Принцип реалізації інформаційного обміну</w:t>
            </w:r>
            <w:r w:rsidR="0080663D">
              <w:rPr>
                <w:rFonts w:eastAsia="Calibri"/>
                <w:sz w:val="22"/>
                <w:szCs w:val="22"/>
              </w:rPr>
              <w:t xml:space="preserve"> «точка до точки», випадки рівноправних та нерівноправних учасників обміну. </w:t>
            </w:r>
            <w:r w:rsidR="002D4B72" w:rsidRPr="002D4B72">
              <w:rPr>
                <w:rFonts w:eastAsia="Calibri"/>
                <w:sz w:val="22"/>
                <w:szCs w:val="22"/>
              </w:rPr>
              <w:t>Ролі учасників інформаційного обміну та їх методи взаємодії (ведучий-ведений, передавач-приймач)</w:t>
            </w:r>
            <w:r w:rsidR="002D4B72">
              <w:rPr>
                <w:rFonts w:eastAsia="Calibri"/>
                <w:sz w:val="22"/>
                <w:szCs w:val="22"/>
              </w:rPr>
              <w:t>.</w:t>
            </w:r>
            <w:r w:rsidR="002D4B72" w:rsidRPr="002D4B72">
              <w:rPr>
                <w:rFonts w:eastAsia="Calibri"/>
                <w:sz w:val="22"/>
                <w:szCs w:val="22"/>
              </w:rPr>
              <w:t xml:space="preserve"> </w:t>
            </w:r>
            <w:r w:rsidR="002D4B72">
              <w:rPr>
                <w:rFonts w:eastAsia="Calibri"/>
                <w:sz w:val="22"/>
                <w:szCs w:val="22"/>
              </w:rPr>
              <w:t>Т</w:t>
            </w:r>
            <w:r w:rsidR="0080663D">
              <w:rPr>
                <w:rFonts w:eastAsia="Calibri"/>
                <w:sz w:val="22"/>
                <w:szCs w:val="22"/>
              </w:rPr>
              <w:t xml:space="preserve">ипові керуючі сигнали, що застосовуються для узгодження інформаційного обміну. Паралельні та послідовні шини та інтерфейси. </w:t>
            </w:r>
            <w:r w:rsidR="0080663D" w:rsidRPr="0080663D">
              <w:rPr>
                <w:rFonts w:eastAsia="Calibri"/>
                <w:sz w:val="22"/>
                <w:szCs w:val="22"/>
              </w:rPr>
              <w:t>Синхронний та асинхронний обмін</w:t>
            </w:r>
            <w:r w:rsidR="0080663D">
              <w:rPr>
                <w:rFonts w:eastAsia="Calibri"/>
                <w:sz w:val="22"/>
                <w:szCs w:val="22"/>
              </w:rPr>
              <w:t>.</w:t>
            </w:r>
          </w:p>
          <w:p w:rsidR="00E86393" w:rsidRDefault="0080663D" w:rsidP="002D4B72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 Способи інформаційної взаємодії головного та периферійних пристроїв в системах керування та системах передачі інформації. Метод опитування та метод обміну за запитом на переривання.</w:t>
            </w:r>
          </w:p>
          <w:p w:rsidR="00E86393" w:rsidRDefault="0080663D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 Способи реалізації </w:t>
            </w:r>
            <w:proofErr w:type="spellStart"/>
            <w:r>
              <w:rPr>
                <w:rFonts w:eastAsia="Calibri"/>
                <w:sz w:val="22"/>
                <w:szCs w:val="22"/>
              </w:rPr>
              <w:t>двонаправленого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інформаційного обміну по шинам. </w:t>
            </w:r>
            <w:r w:rsidRPr="0080663D">
              <w:rPr>
                <w:rFonts w:eastAsia="Calibri"/>
                <w:sz w:val="22"/>
                <w:szCs w:val="22"/>
              </w:rPr>
              <w:t xml:space="preserve">Одно- та </w:t>
            </w:r>
            <w:proofErr w:type="spellStart"/>
            <w:r w:rsidRPr="0080663D">
              <w:rPr>
                <w:rFonts w:eastAsia="Calibri"/>
                <w:sz w:val="22"/>
                <w:szCs w:val="22"/>
              </w:rPr>
              <w:t>двонаправлений</w:t>
            </w:r>
            <w:proofErr w:type="spellEnd"/>
            <w:r w:rsidRPr="0080663D">
              <w:rPr>
                <w:rFonts w:eastAsia="Calibri"/>
                <w:sz w:val="22"/>
                <w:szCs w:val="22"/>
              </w:rPr>
              <w:t xml:space="preserve">, повно- та </w:t>
            </w:r>
            <w:proofErr w:type="spellStart"/>
            <w:r w:rsidRPr="0080663D">
              <w:rPr>
                <w:rFonts w:eastAsia="Calibri"/>
                <w:sz w:val="22"/>
                <w:szCs w:val="22"/>
              </w:rPr>
              <w:t>напівдуплексний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способи інформаційного обміну. </w:t>
            </w:r>
            <w:r w:rsidRPr="0080663D">
              <w:rPr>
                <w:rFonts w:eastAsia="Calibri"/>
                <w:sz w:val="22"/>
                <w:szCs w:val="22"/>
              </w:rPr>
              <w:t>Фізичні та логічні топології з’єднань (шина, кільце, зірка)</w:t>
            </w:r>
            <w:r>
              <w:rPr>
                <w:rFonts w:eastAsia="Calibri"/>
                <w:sz w:val="22"/>
                <w:szCs w:val="22"/>
              </w:rPr>
              <w:t xml:space="preserve">. Документовані та нестандартні способи реалізації </w:t>
            </w:r>
            <w:proofErr w:type="spellStart"/>
            <w:r>
              <w:rPr>
                <w:rFonts w:eastAsia="Calibri"/>
                <w:sz w:val="22"/>
                <w:szCs w:val="22"/>
              </w:rPr>
              <w:t>двонаправленого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обміну даних на шинах, використання комутаторів.</w:t>
            </w:r>
            <w:r w:rsidR="002D4B72">
              <w:rPr>
                <w:rFonts w:eastAsia="Calibri"/>
                <w:sz w:val="22"/>
                <w:szCs w:val="22"/>
              </w:rPr>
              <w:t xml:space="preserve"> Можливості та особливості мікропроцесорних шин та інтерфейсів </w:t>
            </w:r>
            <w:r w:rsidR="002D4B72">
              <w:rPr>
                <w:rFonts w:eastAsia="Calibri"/>
                <w:sz w:val="22"/>
                <w:szCs w:val="22"/>
                <w:lang w:val="en-US"/>
              </w:rPr>
              <w:t>SPI</w:t>
            </w:r>
            <w:r w:rsidR="002D4B72" w:rsidRPr="002D4B72">
              <w:rPr>
                <w:rFonts w:eastAsia="Calibri"/>
                <w:sz w:val="22"/>
                <w:szCs w:val="22"/>
              </w:rPr>
              <w:t xml:space="preserve">, </w:t>
            </w:r>
            <w:r w:rsidR="002D4B72">
              <w:rPr>
                <w:rFonts w:eastAsia="Calibri"/>
                <w:sz w:val="22"/>
                <w:szCs w:val="22"/>
                <w:lang w:val="en-US"/>
              </w:rPr>
              <w:t>UART</w:t>
            </w:r>
            <w:r w:rsidR="002D4B72" w:rsidRPr="002D4B72">
              <w:rPr>
                <w:rFonts w:eastAsia="Calibri"/>
                <w:sz w:val="22"/>
                <w:szCs w:val="22"/>
              </w:rPr>
              <w:t xml:space="preserve"> / </w:t>
            </w:r>
            <w:r w:rsidR="002D4B72">
              <w:rPr>
                <w:rFonts w:eastAsia="Calibri"/>
                <w:sz w:val="22"/>
                <w:szCs w:val="22"/>
                <w:lang w:val="en-US"/>
              </w:rPr>
              <w:t>RS</w:t>
            </w:r>
            <w:r w:rsidR="002D4B72" w:rsidRPr="002D4B72">
              <w:rPr>
                <w:rFonts w:eastAsia="Calibri"/>
                <w:sz w:val="22"/>
                <w:szCs w:val="22"/>
              </w:rPr>
              <w:t xml:space="preserve">-232, </w:t>
            </w:r>
            <w:r w:rsidR="002D4B72">
              <w:rPr>
                <w:rFonts w:eastAsia="Calibri"/>
                <w:sz w:val="22"/>
                <w:szCs w:val="22"/>
                <w:lang w:val="en-US"/>
              </w:rPr>
              <w:t>I</w:t>
            </w:r>
            <w:r w:rsidR="002D4B72" w:rsidRPr="002D4B72">
              <w:rPr>
                <w:rFonts w:eastAsia="Calibri"/>
                <w:sz w:val="22"/>
                <w:szCs w:val="22"/>
              </w:rPr>
              <w:t>2</w:t>
            </w:r>
            <w:r w:rsidR="002D4B72">
              <w:rPr>
                <w:rFonts w:eastAsia="Calibri"/>
                <w:sz w:val="22"/>
                <w:szCs w:val="22"/>
                <w:lang w:val="en-US"/>
              </w:rPr>
              <w:t>C</w:t>
            </w:r>
            <w:r w:rsidR="002D4B72" w:rsidRPr="002D4B72">
              <w:rPr>
                <w:rFonts w:eastAsia="Calibri"/>
                <w:sz w:val="22"/>
                <w:szCs w:val="22"/>
              </w:rPr>
              <w:t>.</w:t>
            </w:r>
          </w:p>
          <w:p w:rsidR="00E86393" w:rsidRDefault="002D4B72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 w:rsidRPr="002D4B72">
              <w:rPr>
                <w:rFonts w:eastAsia="Calibri"/>
                <w:sz w:val="22"/>
                <w:szCs w:val="22"/>
              </w:rPr>
              <w:t>4. Способи адресації пристроїв</w:t>
            </w:r>
            <w:r>
              <w:rPr>
                <w:rFonts w:eastAsia="Calibri"/>
                <w:sz w:val="22"/>
                <w:szCs w:val="22"/>
              </w:rPr>
              <w:t>. Апаратна та програмна адресація.</w:t>
            </w:r>
          </w:p>
          <w:p w:rsidR="00CE6DD6" w:rsidRDefault="002D4B72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2D4B72">
              <w:rPr>
                <w:rFonts w:eastAsia="Calibri"/>
                <w:sz w:val="22"/>
                <w:szCs w:val="22"/>
              </w:rPr>
              <w:t>Засоби реалізації гальванічної розв’язки та перетворення рівнів сигналів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</w:rPr>
              <w:t>Інвертуючі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eastAsia="Calibri"/>
                <w:sz w:val="22"/>
                <w:szCs w:val="22"/>
              </w:rPr>
              <w:t>неінвертуючі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способи включення </w:t>
            </w:r>
            <w:proofErr w:type="spellStart"/>
            <w:r>
              <w:rPr>
                <w:rFonts w:eastAsia="Calibri"/>
                <w:sz w:val="22"/>
                <w:szCs w:val="22"/>
              </w:rPr>
              <w:t>оптопар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. </w:t>
            </w:r>
            <w:r w:rsidR="00E86393">
              <w:rPr>
                <w:rFonts w:eastAsia="Calibri"/>
                <w:sz w:val="22"/>
                <w:szCs w:val="22"/>
              </w:rPr>
              <w:t xml:space="preserve">Перетворення </w:t>
            </w:r>
            <w:proofErr w:type="spellStart"/>
            <w:r w:rsidR="00E86393">
              <w:rPr>
                <w:rFonts w:eastAsia="Calibri"/>
                <w:sz w:val="22"/>
                <w:szCs w:val="22"/>
              </w:rPr>
              <w:t>однополярних</w:t>
            </w:r>
            <w:proofErr w:type="spellEnd"/>
            <w:r w:rsidR="00E86393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="00E86393">
              <w:rPr>
                <w:rFonts w:eastAsia="Calibri"/>
                <w:sz w:val="22"/>
                <w:szCs w:val="22"/>
              </w:rPr>
              <w:t>двополярних</w:t>
            </w:r>
            <w:proofErr w:type="spellEnd"/>
            <w:r w:rsidR="00E86393">
              <w:rPr>
                <w:rFonts w:eastAsia="Calibri"/>
                <w:sz w:val="22"/>
                <w:szCs w:val="22"/>
              </w:rPr>
              <w:t xml:space="preserve"> сигналів. Передача сигналів напругою та струмом. Передача за допомогою «струмової петлі».</w:t>
            </w:r>
          </w:p>
          <w:p w:rsidR="00E86393" w:rsidRDefault="00E86393" w:rsidP="00E86393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6. Послідовний асинхронний інтерфейс </w:t>
            </w:r>
            <w:r>
              <w:rPr>
                <w:rFonts w:eastAsia="Calibri"/>
                <w:sz w:val="22"/>
                <w:szCs w:val="22"/>
                <w:lang w:val="en-US"/>
              </w:rPr>
              <w:t>UART</w:t>
            </w:r>
            <w:r w:rsidRPr="00E86393">
              <w:rPr>
                <w:rFonts w:eastAsia="Calibri"/>
                <w:sz w:val="22"/>
                <w:szCs w:val="22"/>
              </w:rPr>
              <w:t xml:space="preserve"> /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 xml:space="preserve">-232. Відмінності та спільні риси </w:t>
            </w:r>
            <w:r>
              <w:rPr>
                <w:rFonts w:eastAsia="Calibri"/>
                <w:sz w:val="22"/>
                <w:szCs w:val="22"/>
                <w:lang w:val="en-US"/>
              </w:rPr>
              <w:t>UART</w:t>
            </w:r>
            <w:r w:rsidRPr="00E8639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та</w:t>
            </w:r>
            <w:r w:rsidRPr="00E8639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-232</w:t>
            </w:r>
            <w:r>
              <w:rPr>
                <w:rFonts w:eastAsia="Calibri"/>
                <w:sz w:val="22"/>
                <w:szCs w:val="22"/>
              </w:rPr>
              <w:t xml:space="preserve">. Рівні сигналів. Склад та призначення сигналів інтерфейсу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-232</w:t>
            </w:r>
            <w:r>
              <w:rPr>
                <w:rFonts w:eastAsia="Calibri"/>
                <w:sz w:val="22"/>
                <w:szCs w:val="22"/>
              </w:rPr>
              <w:t xml:space="preserve">. Споріднені інтерфейси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-422</w:t>
            </w:r>
            <w:r>
              <w:rPr>
                <w:rFonts w:eastAsia="Calibri"/>
                <w:sz w:val="22"/>
                <w:szCs w:val="22"/>
                <w:lang w:val="en-US"/>
              </w:rPr>
              <w:t>A</w:t>
            </w:r>
            <w:r w:rsidRPr="00E8639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-423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E8639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 xml:space="preserve">-485, </w:t>
            </w:r>
            <w:r>
              <w:rPr>
                <w:rFonts w:eastAsia="Calibri"/>
                <w:sz w:val="22"/>
                <w:szCs w:val="22"/>
              </w:rPr>
              <w:t xml:space="preserve">їх особливості та переваги. Типи роз’ємів інтерфейсу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-232</w:t>
            </w:r>
            <w:r>
              <w:rPr>
                <w:rFonts w:eastAsia="Calibri"/>
                <w:sz w:val="22"/>
                <w:szCs w:val="22"/>
                <w:lang w:val="en-US"/>
              </w:rPr>
              <w:t>C</w:t>
            </w:r>
            <w:r w:rsidRPr="00E86393"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</w:rPr>
              <w:t xml:space="preserve">Схеми з’єднання пристроїв за інтерфейсом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 xml:space="preserve">-232. </w:t>
            </w:r>
            <w:r>
              <w:rPr>
                <w:rFonts w:eastAsia="Calibri"/>
                <w:sz w:val="22"/>
                <w:szCs w:val="22"/>
              </w:rPr>
              <w:t xml:space="preserve">Послідовність керуючих сигналів інтерфейсу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E86393">
              <w:rPr>
                <w:rFonts w:eastAsia="Calibri"/>
                <w:sz w:val="22"/>
                <w:szCs w:val="22"/>
              </w:rPr>
              <w:t>-232</w:t>
            </w:r>
            <w:r>
              <w:rPr>
                <w:rFonts w:eastAsia="Calibri"/>
                <w:sz w:val="22"/>
                <w:szCs w:val="22"/>
              </w:rPr>
              <w:t xml:space="preserve"> в типовому сеансі інформаційного обміну.</w:t>
            </w:r>
          </w:p>
          <w:p w:rsidR="00B462E9" w:rsidRPr="00E86393" w:rsidRDefault="00B462E9" w:rsidP="00B462E9">
            <w:pPr>
              <w:pStyle w:val="3"/>
              <w:tabs>
                <w:tab w:val="left" w:pos="39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7. </w:t>
            </w:r>
            <w:r w:rsidRPr="00B462E9">
              <w:rPr>
                <w:rFonts w:eastAsia="Calibri"/>
                <w:sz w:val="22"/>
                <w:szCs w:val="22"/>
              </w:rPr>
              <w:t>Організаці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B462E9">
              <w:rPr>
                <w:rFonts w:eastAsia="Calibri"/>
                <w:sz w:val="22"/>
                <w:szCs w:val="22"/>
              </w:rPr>
              <w:t xml:space="preserve"> та передач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B462E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багатобайтних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462E9">
              <w:rPr>
                <w:rFonts w:eastAsia="Calibri"/>
                <w:sz w:val="22"/>
                <w:szCs w:val="22"/>
              </w:rPr>
              <w:t>інформаційних повідомлень</w:t>
            </w:r>
            <w:r>
              <w:rPr>
                <w:rFonts w:eastAsia="Calibri"/>
                <w:sz w:val="22"/>
                <w:szCs w:val="22"/>
              </w:rPr>
              <w:t xml:space="preserve">. Типова структура інформаційних посилок в різного роду </w:t>
            </w:r>
            <w:r w:rsidRPr="00B462E9">
              <w:rPr>
                <w:rFonts w:eastAsia="Calibri"/>
                <w:sz w:val="22"/>
                <w:szCs w:val="22"/>
              </w:rPr>
              <w:t>системах керування та передачі інформації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="00343C84">
              <w:rPr>
                <w:rFonts w:eastAsia="Calibri"/>
                <w:sz w:val="22"/>
                <w:szCs w:val="22"/>
              </w:rPr>
              <w:t xml:space="preserve">Типові підходи до організації протоколів інформаційного обміну. </w:t>
            </w:r>
            <w:r>
              <w:rPr>
                <w:rFonts w:eastAsia="Calibri"/>
                <w:sz w:val="22"/>
                <w:szCs w:val="22"/>
              </w:rPr>
              <w:t xml:space="preserve">Алгоритмічна реалізація </w:t>
            </w:r>
            <w:proofErr w:type="spellStart"/>
            <w:r>
              <w:rPr>
                <w:rFonts w:eastAsia="Calibri"/>
                <w:sz w:val="22"/>
                <w:szCs w:val="22"/>
              </w:rPr>
              <w:t>багатобайтного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обміну інформаційними повідомленнями (посилками).</w:t>
            </w:r>
            <w:bookmarkStart w:id="0" w:name="_GoBack"/>
            <w:bookmarkEnd w:id="0"/>
          </w:p>
        </w:tc>
      </w:tr>
      <w:tr w:rsidR="00CE6DD6" w:rsidRPr="00A345F6" w:rsidTr="00E47C54">
        <w:trPr>
          <w:trHeight w:val="704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Система оцінювання</w:t>
            </w:r>
          </w:p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(як розподіляється 100 балів за курс)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BB45FC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60 балів за виконання 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лабораторних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робіт протягом вивчення дисципліни.</w:t>
            </w:r>
          </w:p>
          <w:p w:rsidR="00CE6DD6" w:rsidRPr="00A345F6" w:rsidRDefault="00B13AE0" w:rsidP="00921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40 балів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лекційний модуль (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написання </w:t>
            </w:r>
            <w:r w:rsidR="00BB45FC" w:rsidRPr="00A345F6">
              <w:rPr>
                <w:rFonts w:ascii="Times New Roman" w:hAnsi="Times New Roman" w:cs="Times New Roman"/>
                <w:color w:val="000000" w:themeColor="text1"/>
              </w:rPr>
              <w:t>КМР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1556">
              <w:rPr>
                <w:rFonts w:ascii="Times New Roman" w:hAnsi="Times New Roman" w:cs="Times New Roman"/>
                <w:color w:val="000000" w:themeColor="text1"/>
              </w:rPr>
              <w:t>у формі тестів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  <w:tr w:rsidR="00CE6DD6" w:rsidRPr="00A345F6" w:rsidTr="00E47C54">
        <w:trPr>
          <w:trHeight w:val="253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Форма</w:t>
            </w:r>
            <w:r w:rsidR="007D66AC" w:rsidRPr="00A345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345F6">
              <w:rPr>
                <w:rFonts w:ascii="Times New Roman" w:hAnsi="Times New Roman" w:cs="Times New Roman"/>
                <w:color w:val="000000" w:themeColor="text1"/>
              </w:rPr>
              <w:t>контролю</w:t>
            </w:r>
          </w:p>
        </w:tc>
        <w:tc>
          <w:tcPr>
            <w:tcW w:w="6121" w:type="dxa"/>
            <w:gridSpan w:val="2"/>
            <w:shd w:val="clear" w:color="auto" w:fill="auto"/>
            <w:vAlign w:val="center"/>
          </w:tcPr>
          <w:p w:rsidR="00CE6DD6" w:rsidRPr="00A345F6" w:rsidRDefault="00294776" w:rsidP="00965A41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CE6DD6" w:rsidRPr="00A345F6" w:rsidTr="006A53AC">
        <w:trPr>
          <w:trHeight w:val="2558"/>
        </w:trPr>
        <w:tc>
          <w:tcPr>
            <w:tcW w:w="3377" w:type="dxa"/>
            <w:shd w:val="clear" w:color="auto" w:fill="auto"/>
            <w:vAlign w:val="center"/>
          </w:tcPr>
          <w:p w:rsidR="00CE6DD6" w:rsidRPr="00A345F6" w:rsidRDefault="00CE6DD6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lastRenderedPageBreak/>
              <w:t>Лектор</w:t>
            </w:r>
          </w:p>
          <w:p w:rsidR="00BB45FC" w:rsidRPr="00A345F6" w:rsidRDefault="00BB45FC" w:rsidP="00965A41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BB45F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1499235" cy="217995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v_pidtychenk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217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DD6" w:rsidRPr="00A345F6" w:rsidRDefault="00431556" w:rsidP="00431556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Підтиченко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6A53A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</w:rPr>
              <w:t>., доцент</w:t>
            </w:r>
            <w:r w:rsidR="006A53AC" w:rsidRPr="00777E68">
              <w:rPr>
                <w:rFonts w:ascii="Times New Roman" w:hAnsi="Times New Roman" w:cs="Times New Roman"/>
              </w:rPr>
              <w:t xml:space="preserve"> кафедри автоматизації та комп’ютерно-інтегрованих техно</w:t>
            </w:r>
            <w:r w:rsidR="006A53AC">
              <w:rPr>
                <w:rFonts w:ascii="Times New Roman" w:hAnsi="Times New Roman" w:cs="Times New Roman"/>
              </w:rPr>
              <w:t xml:space="preserve">логій ім. проф. Б.Б. </w:t>
            </w:r>
            <w:proofErr w:type="spellStart"/>
            <w:r w:rsidR="006A53AC">
              <w:rPr>
                <w:rFonts w:ascii="Times New Roman" w:hAnsi="Times New Roman" w:cs="Times New Roman"/>
              </w:rPr>
              <w:t>Самотокіна</w:t>
            </w:r>
            <w:proofErr w:type="spellEnd"/>
          </w:p>
        </w:tc>
      </w:tr>
    </w:tbl>
    <w:p w:rsidR="00465D47" w:rsidRPr="00965A41" w:rsidRDefault="00465D47" w:rsidP="00465D47">
      <w:pPr>
        <w:widowControl w:val="0"/>
        <w:snapToGri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5D47" w:rsidRPr="00965A41" w:rsidSect="005D71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ACB"/>
    <w:multiLevelType w:val="hybridMultilevel"/>
    <w:tmpl w:val="FA4CC204"/>
    <w:lvl w:ilvl="0" w:tplc="1DAA8D40">
      <w:start w:val="1"/>
      <w:numFmt w:val="decimal"/>
      <w:lvlText w:val="%1."/>
      <w:lvlJc w:val="left"/>
      <w:pPr>
        <w:tabs>
          <w:tab w:val="num" w:pos="1394"/>
        </w:tabs>
        <w:ind w:left="1394" w:hanging="111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D40E97"/>
    <w:multiLevelType w:val="hybridMultilevel"/>
    <w:tmpl w:val="0E7E556C"/>
    <w:lvl w:ilvl="0" w:tplc="60DE7FD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CC225A"/>
    <w:multiLevelType w:val="hybridMultilevel"/>
    <w:tmpl w:val="7E5E66A4"/>
    <w:lvl w:ilvl="0" w:tplc="0FC4268E"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>
    <w:nsid w:val="7F1A4A75"/>
    <w:multiLevelType w:val="hybridMultilevel"/>
    <w:tmpl w:val="7924E5D8"/>
    <w:lvl w:ilvl="0" w:tplc="F7507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02"/>
    <w:rsid w:val="00041B34"/>
    <w:rsid w:val="000627D0"/>
    <w:rsid w:val="0007291A"/>
    <w:rsid w:val="000969FD"/>
    <w:rsid w:val="000A5DB0"/>
    <w:rsid w:val="000B593A"/>
    <w:rsid w:val="00181386"/>
    <w:rsid w:val="00231AB4"/>
    <w:rsid w:val="00256DEE"/>
    <w:rsid w:val="00281B83"/>
    <w:rsid w:val="00294776"/>
    <w:rsid w:val="002D4B72"/>
    <w:rsid w:val="00310D32"/>
    <w:rsid w:val="00312B69"/>
    <w:rsid w:val="00343C84"/>
    <w:rsid w:val="003A63B2"/>
    <w:rsid w:val="003B2BEB"/>
    <w:rsid w:val="003C5EE7"/>
    <w:rsid w:val="003F6D11"/>
    <w:rsid w:val="00423E9F"/>
    <w:rsid w:val="00431556"/>
    <w:rsid w:val="00465D47"/>
    <w:rsid w:val="00482C59"/>
    <w:rsid w:val="00496B90"/>
    <w:rsid w:val="004C04B2"/>
    <w:rsid w:val="004C289C"/>
    <w:rsid w:val="00552641"/>
    <w:rsid w:val="00587E4F"/>
    <w:rsid w:val="00592EE8"/>
    <w:rsid w:val="005A43B5"/>
    <w:rsid w:val="005A513D"/>
    <w:rsid w:val="005D7161"/>
    <w:rsid w:val="005E48F9"/>
    <w:rsid w:val="006229F7"/>
    <w:rsid w:val="00624581"/>
    <w:rsid w:val="0068483B"/>
    <w:rsid w:val="006A53AC"/>
    <w:rsid w:val="006B68B8"/>
    <w:rsid w:val="006C5BE5"/>
    <w:rsid w:val="0075263D"/>
    <w:rsid w:val="007A7ED9"/>
    <w:rsid w:val="007B152B"/>
    <w:rsid w:val="007B5759"/>
    <w:rsid w:val="007C4415"/>
    <w:rsid w:val="007D66AC"/>
    <w:rsid w:val="007E036A"/>
    <w:rsid w:val="007E787A"/>
    <w:rsid w:val="007F1AB2"/>
    <w:rsid w:val="0080663D"/>
    <w:rsid w:val="008664A6"/>
    <w:rsid w:val="00884B87"/>
    <w:rsid w:val="00895D35"/>
    <w:rsid w:val="008A4581"/>
    <w:rsid w:val="008A76B1"/>
    <w:rsid w:val="008B050B"/>
    <w:rsid w:val="00900FCE"/>
    <w:rsid w:val="0090680A"/>
    <w:rsid w:val="00921DF0"/>
    <w:rsid w:val="00936DE8"/>
    <w:rsid w:val="009445F5"/>
    <w:rsid w:val="009553FA"/>
    <w:rsid w:val="00961C63"/>
    <w:rsid w:val="00965A41"/>
    <w:rsid w:val="00974285"/>
    <w:rsid w:val="00977596"/>
    <w:rsid w:val="009F6D95"/>
    <w:rsid w:val="00A345F6"/>
    <w:rsid w:val="00A51D39"/>
    <w:rsid w:val="00A53415"/>
    <w:rsid w:val="00B13AE0"/>
    <w:rsid w:val="00B2531E"/>
    <w:rsid w:val="00B347F9"/>
    <w:rsid w:val="00B462E9"/>
    <w:rsid w:val="00B608FC"/>
    <w:rsid w:val="00B82047"/>
    <w:rsid w:val="00BB077E"/>
    <w:rsid w:val="00BB45FC"/>
    <w:rsid w:val="00BE0F77"/>
    <w:rsid w:val="00C07ED2"/>
    <w:rsid w:val="00C13BCD"/>
    <w:rsid w:val="00C25F3A"/>
    <w:rsid w:val="00C641B5"/>
    <w:rsid w:val="00C72090"/>
    <w:rsid w:val="00C97A9C"/>
    <w:rsid w:val="00CA29D3"/>
    <w:rsid w:val="00CA7A21"/>
    <w:rsid w:val="00CD6A2A"/>
    <w:rsid w:val="00CE6DD6"/>
    <w:rsid w:val="00D01A6B"/>
    <w:rsid w:val="00D01B33"/>
    <w:rsid w:val="00DC0FC7"/>
    <w:rsid w:val="00E444FA"/>
    <w:rsid w:val="00E45BF4"/>
    <w:rsid w:val="00E47C54"/>
    <w:rsid w:val="00E70510"/>
    <w:rsid w:val="00E86393"/>
    <w:rsid w:val="00ED1FF0"/>
    <w:rsid w:val="00F025FB"/>
    <w:rsid w:val="00F2695C"/>
    <w:rsid w:val="00F520D9"/>
    <w:rsid w:val="00FA2702"/>
    <w:rsid w:val="00FB7D25"/>
    <w:rsid w:val="00FC1323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8"/>
    <w:pPr>
      <w:ind w:left="720"/>
      <w:contextualSpacing/>
    </w:pPr>
  </w:style>
  <w:style w:type="paragraph" w:customStyle="1" w:styleId="1">
    <w:name w:val="Обычный1"/>
    <w:rsid w:val="007E78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82C5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CE6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E6D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Вікторія Вікторівна</dc:creator>
  <cp:lastModifiedBy>SASHA</cp:lastModifiedBy>
  <cp:revision>51</cp:revision>
  <cp:lastPrinted>2020-02-24T11:04:00Z</cp:lastPrinted>
  <dcterms:created xsi:type="dcterms:W3CDTF">2020-05-27T10:09:00Z</dcterms:created>
  <dcterms:modified xsi:type="dcterms:W3CDTF">2022-07-26T19:08:00Z</dcterms:modified>
</cp:coreProperties>
</file>