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5535" w14:textId="41AEEBC0" w:rsidR="00BE09F8" w:rsidRPr="00BE09F8" w:rsidRDefault="00BE09F8" w:rsidP="00BE09F8">
      <w:pPr>
        <w:spacing w:after="0" w:line="240" w:lineRule="auto"/>
        <w:ind w:firstLine="1418"/>
        <w:rPr>
          <w:rFonts w:ascii="Times New Roman" w:hAnsi="Times New Roman" w:cs="Times New Roman"/>
          <w:b/>
          <w:bCs/>
          <w:lang w:val="uk-UA"/>
        </w:rPr>
      </w:pPr>
      <w:r w:rsidRPr="00BE09F8">
        <w:rPr>
          <w:rFonts w:ascii="Times New Roman" w:hAnsi="Times New Roman" w:cs="Times New Roman"/>
          <w:b/>
          <w:bCs/>
          <w:lang w:val="uk-UA"/>
        </w:rPr>
        <w:t>ПИТАННЯ</w:t>
      </w:r>
      <w:r w:rsidR="00F30856">
        <w:rPr>
          <w:rFonts w:ascii="Times New Roman" w:hAnsi="Times New Roman" w:cs="Times New Roman"/>
          <w:b/>
          <w:bCs/>
          <w:lang w:val="uk-UA"/>
        </w:rPr>
        <w:t xml:space="preserve"> – М1</w:t>
      </w:r>
    </w:p>
    <w:p w14:paraId="60379F76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14:paraId="1E26E20F" w14:textId="45E929B8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1.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Надійність є показником …</w:t>
      </w:r>
    </w:p>
    <w:p w14:paraId="54BB0FB2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2.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Надійність це …</w:t>
      </w:r>
    </w:p>
    <w:p w14:paraId="27560CFC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3.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Складові надійності: …</w:t>
      </w:r>
    </w:p>
    <w:p w14:paraId="2B3CF9E9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4.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Безвідмовність це …</w:t>
      </w:r>
    </w:p>
    <w:p w14:paraId="5D4C3BBB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5.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Збереженість це …</w:t>
      </w:r>
    </w:p>
    <w:p w14:paraId="509C57D7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6.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Довговічність це …</w:t>
      </w:r>
    </w:p>
    <w:p w14:paraId="18E2A3F5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7.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Відмова це …</w:t>
      </w:r>
    </w:p>
    <w:p w14:paraId="49B8A11B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8.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Ремонтопридатність це …</w:t>
      </w:r>
    </w:p>
    <w:p w14:paraId="4B095E00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9.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Граничний стан це …</w:t>
      </w:r>
    </w:p>
    <w:p w14:paraId="416813FF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10.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Для кількісної оцінки властивостей надійності використовують:</w:t>
      </w:r>
    </w:p>
    <w:p w14:paraId="50D3E9FD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11.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 xml:space="preserve">Відмови настають в результаті: </w:t>
      </w:r>
    </w:p>
    <w:p w14:paraId="6CC46C45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12.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За характером появи відмови бувають:</w:t>
      </w:r>
    </w:p>
    <w:p w14:paraId="467A7958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13.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За зв’язком з іншими відмовами відмови бувають:</w:t>
      </w:r>
    </w:p>
    <w:p w14:paraId="638DFC8F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14.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За причиною виникнення відмови бувають:</w:t>
      </w:r>
    </w:p>
    <w:p w14:paraId="591EE0C0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15.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За характером відновлення відмови бувають:</w:t>
      </w:r>
    </w:p>
    <w:p w14:paraId="10A107AF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16.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За походженням відмови бувають:</w:t>
      </w:r>
    </w:p>
    <w:p w14:paraId="0CB08790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17.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За часом виникнення відмови бувають:</w:t>
      </w:r>
    </w:p>
    <w:p w14:paraId="6B4D619F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18.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За можливістю подальшої експлуатації відмови бувають:</w:t>
      </w:r>
    </w:p>
    <w:p w14:paraId="12A70774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19.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За наявністю зовнішніх ознак відмови бувають:</w:t>
      </w:r>
    </w:p>
    <w:p w14:paraId="2CD595D4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20.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Для інтенсивності відмов характерні стадії:</w:t>
      </w:r>
    </w:p>
    <w:p w14:paraId="18E1B1B2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21.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Ймовірністю деякої події А …</w:t>
      </w:r>
    </w:p>
    <w:p w14:paraId="256ABEAD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22.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Перестановками із {n} елементів називається …</w:t>
      </w:r>
    </w:p>
    <w:p w14:paraId="0B21B17E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23.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Розміщенням із n елементів по m називається …</w:t>
      </w:r>
    </w:p>
    <w:p w14:paraId="26A2DC8E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24.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Сполученнями із n елементів по m називається …</w:t>
      </w:r>
    </w:p>
    <w:p w14:paraId="50F40CC0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25.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Закон розподілу випадкової величини Х це …</w:t>
      </w:r>
    </w:p>
    <w:p w14:paraId="3D9A016F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26.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Величина Х називається дискретною випадковою …</w:t>
      </w:r>
    </w:p>
    <w:p w14:paraId="5835D770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27.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До законів розподілу випадкових величин відносять …</w:t>
      </w:r>
    </w:p>
    <w:p w14:paraId="2496D4E8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28.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Щільність розподілу нормального закону:</w:t>
      </w:r>
    </w:p>
    <w:p w14:paraId="49728D5D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29.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Щільність розподілу Вейбулла:</w:t>
      </w:r>
    </w:p>
    <w:p w14:paraId="4AA614C2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30.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Щільність розподілу нормально-логарифмічного закону:</w:t>
      </w:r>
    </w:p>
    <w:p w14:paraId="60772680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31.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Щільність експоненційного розподілу:</w:t>
      </w:r>
    </w:p>
    <w:p w14:paraId="560CD60A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32.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Функція розподілу Пуассона:</w:t>
      </w:r>
    </w:p>
    <w:p w14:paraId="457C19CB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33.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Функція нормального розподілу:</w:t>
      </w:r>
    </w:p>
    <w:p w14:paraId="44F66A9F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34.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Функція експоненційного розподілу:</w:t>
      </w:r>
    </w:p>
    <w:p w14:paraId="3C65227D" w14:textId="31816153" w:rsidR="00BE09F8" w:rsidRPr="006667C3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7C3">
        <w:rPr>
          <w:rFonts w:ascii="Times New Roman" w:hAnsi="Times New Roman" w:cs="Times New Roman"/>
          <w:sz w:val="20"/>
          <w:szCs w:val="20"/>
        </w:rPr>
        <w:t>35.</w:t>
      </w:r>
      <w:r w:rsidRPr="006667C3">
        <w:rPr>
          <w:rFonts w:ascii="Times New Roman" w:hAnsi="Times New Roman" w:cs="Times New Roman"/>
          <w:sz w:val="20"/>
          <w:szCs w:val="20"/>
        </w:rPr>
        <w:tab/>
      </w:r>
      <w:r w:rsidRPr="006667C3">
        <w:rPr>
          <w:rFonts w:ascii="Times New Roman" w:hAnsi="Times New Roman" w:cs="Times New Roman"/>
          <w:sz w:val="20"/>
          <w:szCs w:val="20"/>
        </w:rPr>
        <w:tab/>
        <w:t xml:space="preserve">За формулою </w:t>
      </w:r>
      <w:r w:rsidR="006667C3">
        <w:rPr>
          <w:rFonts w:ascii="Times New Roman" w:hAnsi="Times New Roman" w:cs="Times New Roman"/>
          <w:sz w:val="20"/>
          <w:szCs w:val="20"/>
          <w:lang w:val="ru-UA"/>
        </w:rPr>
        <w:t xml:space="preserve">                  </w:t>
      </w:r>
      <w:r w:rsidRPr="006667C3">
        <w:rPr>
          <w:rFonts w:ascii="Times New Roman" w:hAnsi="Times New Roman" w:cs="Times New Roman"/>
          <w:sz w:val="20"/>
          <w:szCs w:val="20"/>
        </w:rPr>
        <w:t xml:space="preserve"> визначається:</w:t>
      </w:r>
    </w:p>
    <w:p w14:paraId="0EE8EF41" w14:textId="66276E92" w:rsidR="00BE09F8" w:rsidRPr="006667C3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7C3">
        <w:rPr>
          <w:rFonts w:ascii="Times New Roman" w:hAnsi="Times New Roman" w:cs="Times New Roman"/>
          <w:sz w:val="20"/>
          <w:szCs w:val="20"/>
        </w:rPr>
        <w:t>36.</w:t>
      </w:r>
      <w:r w:rsidRPr="006667C3">
        <w:rPr>
          <w:rFonts w:ascii="Times New Roman" w:hAnsi="Times New Roman" w:cs="Times New Roman"/>
          <w:sz w:val="20"/>
          <w:szCs w:val="20"/>
        </w:rPr>
        <w:tab/>
      </w:r>
      <w:r w:rsidRPr="006667C3">
        <w:rPr>
          <w:rFonts w:ascii="Times New Roman" w:hAnsi="Times New Roman" w:cs="Times New Roman"/>
          <w:sz w:val="20"/>
          <w:szCs w:val="20"/>
        </w:rPr>
        <w:tab/>
        <w:t xml:space="preserve">За формулою </w:t>
      </w:r>
      <w:r w:rsidR="006667C3">
        <w:rPr>
          <w:rFonts w:ascii="Times New Roman" w:hAnsi="Times New Roman" w:cs="Times New Roman"/>
          <w:sz w:val="20"/>
          <w:szCs w:val="20"/>
          <w:lang w:val="ru-UA"/>
        </w:rPr>
        <w:t xml:space="preserve">                   </w:t>
      </w:r>
      <w:r w:rsidRPr="006667C3">
        <w:rPr>
          <w:rFonts w:ascii="Times New Roman" w:hAnsi="Times New Roman" w:cs="Times New Roman"/>
          <w:sz w:val="20"/>
          <w:szCs w:val="20"/>
        </w:rPr>
        <w:t xml:space="preserve"> визначається:</w:t>
      </w:r>
    </w:p>
    <w:p w14:paraId="192F3BED" w14:textId="1ACABFC6" w:rsidR="00BE09F8" w:rsidRPr="006667C3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7C3">
        <w:rPr>
          <w:rFonts w:ascii="Times New Roman" w:hAnsi="Times New Roman" w:cs="Times New Roman"/>
          <w:sz w:val="20"/>
          <w:szCs w:val="20"/>
        </w:rPr>
        <w:t>37.</w:t>
      </w:r>
      <w:r w:rsidRPr="006667C3">
        <w:rPr>
          <w:rFonts w:ascii="Times New Roman" w:hAnsi="Times New Roman" w:cs="Times New Roman"/>
          <w:sz w:val="20"/>
          <w:szCs w:val="20"/>
        </w:rPr>
        <w:tab/>
      </w:r>
      <w:r w:rsidRPr="006667C3">
        <w:rPr>
          <w:rFonts w:ascii="Times New Roman" w:hAnsi="Times New Roman" w:cs="Times New Roman"/>
          <w:sz w:val="20"/>
          <w:szCs w:val="20"/>
        </w:rPr>
        <w:tab/>
        <w:t>За формулою</w:t>
      </w:r>
      <w:r w:rsidR="006667C3">
        <w:rPr>
          <w:rFonts w:ascii="Times New Roman" w:hAnsi="Times New Roman" w:cs="Times New Roman"/>
          <w:sz w:val="20"/>
          <w:szCs w:val="20"/>
          <w:lang w:val="ru-UA"/>
        </w:rPr>
        <w:t xml:space="preserve">                  </w:t>
      </w:r>
      <w:r w:rsidRPr="006667C3">
        <w:rPr>
          <w:rFonts w:ascii="Times New Roman" w:hAnsi="Times New Roman" w:cs="Times New Roman"/>
          <w:sz w:val="20"/>
          <w:szCs w:val="20"/>
        </w:rPr>
        <w:t xml:space="preserve">  визначається:</w:t>
      </w:r>
    </w:p>
    <w:p w14:paraId="441AA620" w14:textId="0E4E51CB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7C3">
        <w:rPr>
          <w:rFonts w:ascii="Times New Roman" w:hAnsi="Times New Roman" w:cs="Times New Roman"/>
          <w:sz w:val="20"/>
          <w:szCs w:val="20"/>
        </w:rPr>
        <w:t>38.</w:t>
      </w:r>
      <w:r w:rsidRPr="006667C3">
        <w:rPr>
          <w:rFonts w:ascii="Times New Roman" w:hAnsi="Times New Roman" w:cs="Times New Roman"/>
          <w:sz w:val="20"/>
          <w:szCs w:val="20"/>
        </w:rPr>
        <w:tab/>
      </w:r>
      <w:r w:rsidRPr="006667C3">
        <w:rPr>
          <w:rFonts w:ascii="Times New Roman" w:hAnsi="Times New Roman" w:cs="Times New Roman"/>
          <w:sz w:val="20"/>
          <w:szCs w:val="20"/>
        </w:rPr>
        <w:tab/>
        <w:t xml:space="preserve">За формулою </w:t>
      </w:r>
      <w:r w:rsidR="006667C3">
        <w:rPr>
          <w:rFonts w:ascii="Times New Roman" w:hAnsi="Times New Roman" w:cs="Times New Roman"/>
          <w:sz w:val="20"/>
          <w:szCs w:val="20"/>
          <w:lang w:val="ru-UA"/>
        </w:rPr>
        <w:t xml:space="preserve">                    </w:t>
      </w:r>
      <w:r w:rsidRPr="006667C3">
        <w:rPr>
          <w:rFonts w:ascii="Times New Roman" w:hAnsi="Times New Roman" w:cs="Times New Roman"/>
          <w:sz w:val="20"/>
          <w:szCs w:val="20"/>
        </w:rPr>
        <w:t xml:space="preserve">  визначається:</w:t>
      </w:r>
    </w:p>
    <w:p w14:paraId="4D63E7DA" w14:textId="3302D5DA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39.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Експоненційний розподіл дозволяє:</w:t>
      </w:r>
    </w:p>
    <w:p w14:paraId="0CC261F4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40.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Нормальний розподіл дозволяє:</w:t>
      </w:r>
    </w:p>
    <w:p w14:paraId="18347342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41.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Розподіл Вейбулла дозволяє:</w:t>
      </w:r>
    </w:p>
    <w:p w14:paraId="2F36657F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42.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Розподіл Пуассона дозволяє:</w:t>
      </w:r>
    </w:p>
    <w:p w14:paraId="54E08DA8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43.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Біноміальний закон розподілу дозволяє:</w:t>
      </w:r>
    </w:p>
    <w:p w14:paraId="45A73BAD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44.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Який закон розподілу при граничній зміні параметрів може переходити в нормальний, нормально-логарифмічний, експоненційний…</w:t>
      </w:r>
    </w:p>
    <w:p w14:paraId="3BA926ED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45.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Визначити квантиль нормального розподілудля шарикопідшипника на протязі   годин, якщо ресурс по зношуванню підлягає нормальному закону та має параметри:  год;   год.</w:t>
      </w:r>
    </w:p>
    <w:p w14:paraId="63472C16" w14:textId="0ED2E164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46.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Додавання ймовірностей…</w:t>
      </w:r>
    </w:p>
    <w:p w14:paraId="3C73279A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47.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Множення ймовірностей…</w:t>
      </w:r>
    </w:p>
    <w:p w14:paraId="28C31018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48.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Несумісними подіями…</w:t>
      </w:r>
    </w:p>
    <w:p w14:paraId="5E4D37B1" w14:textId="77777777" w:rsidR="00BE09F8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49.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Подія це …</w:t>
      </w:r>
    </w:p>
    <w:p w14:paraId="7438249A" w14:textId="535E6C5F" w:rsidR="002467F0" w:rsidRPr="00BE09F8" w:rsidRDefault="00BE09F8" w:rsidP="00BE0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9F8">
        <w:rPr>
          <w:rFonts w:ascii="Times New Roman" w:hAnsi="Times New Roman" w:cs="Times New Roman"/>
          <w:sz w:val="20"/>
          <w:szCs w:val="20"/>
        </w:rPr>
        <w:t>50.</w:t>
      </w:r>
      <w:r w:rsidRPr="00BE09F8">
        <w:rPr>
          <w:rFonts w:ascii="Times New Roman" w:hAnsi="Times New Roman" w:cs="Times New Roman"/>
          <w:sz w:val="20"/>
          <w:szCs w:val="20"/>
        </w:rPr>
        <w:tab/>
      </w:r>
      <w:r w:rsidRPr="00BE09F8">
        <w:rPr>
          <w:rFonts w:ascii="Times New Roman" w:hAnsi="Times New Roman" w:cs="Times New Roman"/>
          <w:sz w:val="20"/>
          <w:szCs w:val="20"/>
        </w:rPr>
        <w:tab/>
        <w:t>Елементи чи підсистеми можуть бути зв’язані між собою зв’язками:</w:t>
      </w:r>
    </w:p>
    <w:sectPr w:rsidR="002467F0" w:rsidRPr="00BE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0D"/>
    <w:rsid w:val="002467F0"/>
    <w:rsid w:val="006667C3"/>
    <w:rsid w:val="00BE09F8"/>
    <w:rsid w:val="00E05D0D"/>
    <w:rsid w:val="00F3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80F6"/>
  <w15:chartTrackingRefBased/>
  <w15:docId w15:val="{71EEF16C-BD8E-4528-99D9-37C87CE1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Kravchenko</dc:creator>
  <cp:keywords/>
  <dc:description/>
  <cp:lastModifiedBy>Kateryna Kravchenko</cp:lastModifiedBy>
  <cp:revision>4</cp:revision>
  <dcterms:created xsi:type="dcterms:W3CDTF">2023-10-31T11:37:00Z</dcterms:created>
  <dcterms:modified xsi:type="dcterms:W3CDTF">2023-11-09T09:28:00Z</dcterms:modified>
</cp:coreProperties>
</file>