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D4" w:rsidRPr="00AB52E6" w:rsidRDefault="00524CD4" w:rsidP="00524CD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ЕМА </w:t>
      </w:r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="00222430" w:rsidRPr="00AB52E6">
        <w:rPr>
          <w:rFonts w:ascii="Times New Roman" w:hAnsi="Times New Roman" w:cs="Times New Roman"/>
          <w:sz w:val="28"/>
          <w:szCs w:val="28"/>
        </w:rPr>
        <w:fldChar w:fldCharType="begin"/>
      </w:r>
      <w:r w:rsidR="00222430" w:rsidRPr="00AB52E6">
        <w:rPr>
          <w:rFonts w:ascii="Times New Roman" w:hAnsi="Times New Roman" w:cs="Times New Roman"/>
          <w:sz w:val="28"/>
          <w:szCs w:val="28"/>
        </w:rPr>
        <w:instrText xml:space="preserve"> HYPERLINK "https://elearn.nubip.edu.ua/mod/book/view.php?id=259305" \o "КЛАСИФІКАЦІЯ ТА ТИПІЗАЦІЯ ГОТЕЛІВ Й ІНШИХ ЗАСОБІВ РОЗМІЩЕННЯ ГОТЕЛЬНОГО ТИПУ" </w:instrText>
      </w:r>
      <w:r w:rsidR="00222430" w:rsidRPr="00AB52E6">
        <w:rPr>
          <w:rFonts w:ascii="Times New Roman" w:hAnsi="Times New Roman" w:cs="Times New Roman"/>
          <w:sz w:val="28"/>
          <w:szCs w:val="28"/>
        </w:rPr>
        <w:fldChar w:fldCharType="separate"/>
      </w:r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</w:rPr>
        <w:t>КЛАСИФІКАЦІЯ ТА ТИПІЗАЦІЯ ГОТЕЛІВ Й ІНШИХ ЗАСОБІВ РОЗМІЩЕННЯ ГОТЕЛЬНОГО ТИПУ</w:t>
      </w:r>
      <w:r w:rsidR="00222430" w:rsidRPr="00AB52E6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end"/>
      </w:r>
    </w:p>
    <w:p w:rsidR="00524CD4" w:rsidRPr="00AB52E6" w:rsidRDefault="00524CD4" w:rsidP="00524CD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</w:rPr>
        <w:t>Мета заняття: </w:t>
      </w: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Розуміти сутність класифікації готелів. Знати критерії класифікації. Вміти розрізняти міжнародні системи класифікації готелів. Знати готельні піктограми, вимоги до готелів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ідповідно до зірковості. Володіти методикою оцінки відповідності готелів та інших засобів розміщення категоріям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роботи</w:t>
      </w:r>
    </w:p>
    <w:p w:rsidR="00524CD4" w:rsidRPr="00AB52E6" w:rsidRDefault="00524CD4" w:rsidP="00AB52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Вимоги до готелів та інших засобів розміщення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ізних категорій.</w:t>
      </w:r>
    </w:p>
    <w:p w:rsidR="00524CD4" w:rsidRPr="00AB52E6" w:rsidRDefault="00524CD4" w:rsidP="00AB52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Критерії бальної оцінки готелів та інших засобів розміщення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ізних категорій</w:t>
      </w:r>
    </w:p>
    <w:p w:rsidR="00524CD4" w:rsidRPr="00AB52E6" w:rsidRDefault="00524CD4" w:rsidP="00AB52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Методика оцінка номерів готелів та інших засобів розміщення на відповідність категоріям</w:t>
      </w:r>
      <w:proofErr w:type="gramEnd"/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</w:rPr>
        <w:t>Хід роботи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Вивчення цієї теми слід почати із засвоєння того, що в основу типізації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ідприємств готельного господарства покладено його функціональне призначення, а вирішальними факторами для типізації підприємств є: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ісцезнаходження;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  контингент;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мета подорожі;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істкість;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  строк перебування;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режим експлуатації;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іальна орієнтація.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При цьому слід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досл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ідити зміст кожного вищенаведеного фактора.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Важливим аспектом у вивченні теми с питання щодо закордонного досвіду типізації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ідприємств готельного господарства з можливістю його гармонізації до вітчизняних засобів розміщення. Слід приділити увагу засвоєнню понять: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  послуга;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сфера послуг;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івень комфорту';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істкість номерного фонду;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  гостинність;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  процес обслуговування;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  функціональне призначення </w:t>
      </w:r>
      <w:proofErr w:type="gram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ідприємства;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 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тривалість діяльності;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  тривалість перебування гостей;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івень цін.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 час вивчення теми слід приділити увагу ознайомленню із положеннями основних законодавчих та нормативних актів, на яких базується типізація підприємств готельного господарства України.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Слід усвідомити, шо на формування типів готельних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ідприємств значною мірою впливає, мета подорожі. Далі слід розглянути основні вимоги до організації підприємств готельного господарства </w:t>
      </w:r>
      <w:hyperlink r:id="rId6" w:tooltip="Словник термінів: Транзит" w:history="1">
        <w:r w:rsidRPr="00AB52E6">
          <w:rPr>
            <w:rFonts w:ascii="Times New Roman" w:eastAsia="Times New Roman" w:hAnsi="Times New Roman" w:cs="Times New Roman"/>
            <w:bCs/>
            <w:sz w:val="28"/>
            <w:szCs w:val="28"/>
          </w:rPr>
          <w:t>транзит</w:t>
        </w:r>
      </w:hyperlink>
      <w:r w:rsidRPr="00AB52E6">
        <w:rPr>
          <w:rFonts w:ascii="Times New Roman" w:eastAsia="Times New Roman" w:hAnsi="Times New Roman" w:cs="Times New Roman"/>
          <w:sz w:val="28"/>
          <w:szCs w:val="28"/>
        </w:rPr>
        <w:t>ного та ділового призначення, загальні та специфічні функціональні вимоги до цих типів засобів розміщення.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У сучасних умовах важливим завданням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ідприємств готельного господарства є задоволення потреб та вимог споживачів щодо пасивного та активного відпочинку шляхом постійного підвищення якості послуг. Вивчаючи тему, студенти мають ознайомитися зі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струк</w:t>
      </w:r>
      <w:hyperlink r:id="rId7" w:tooltip="Словник термінів: Тур" w:history="1">
        <w:r w:rsidRPr="00AB52E6">
          <w:rPr>
            <w:rFonts w:ascii="Times New Roman" w:eastAsia="Times New Roman" w:hAnsi="Times New Roman" w:cs="Times New Roman"/>
            <w:bCs/>
            <w:sz w:val="28"/>
            <w:szCs w:val="28"/>
          </w:rPr>
          <w:t>тур</w:t>
        </w:r>
        <w:proofErr w:type="gramEnd"/>
      </w:hyperlink>
      <w:r w:rsidRPr="00AB52E6">
        <w:rPr>
          <w:rFonts w:ascii="Times New Roman" w:eastAsia="Times New Roman" w:hAnsi="Times New Roman" w:cs="Times New Roman"/>
          <w:sz w:val="28"/>
          <w:szCs w:val="28"/>
        </w:rPr>
        <w:t>ою готелів для відпочинку: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  курортні;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  </w:t>
      </w:r>
      <w:proofErr w:type="spellStart"/>
      <w:r w:rsidR="00222430" w:rsidRPr="00AB52E6">
        <w:rPr>
          <w:rFonts w:ascii="Times New Roman" w:hAnsi="Times New Roman" w:cs="Times New Roman"/>
          <w:sz w:val="28"/>
          <w:szCs w:val="28"/>
        </w:rPr>
        <w:fldChar w:fldCharType="begin"/>
      </w:r>
      <w:r w:rsidR="00222430" w:rsidRPr="00AB52E6">
        <w:rPr>
          <w:rFonts w:ascii="Times New Roman" w:hAnsi="Times New Roman" w:cs="Times New Roman"/>
          <w:sz w:val="28"/>
          <w:szCs w:val="28"/>
        </w:rPr>
        <w:instrText xml:space="preserve"> HYPERLINK "https://elearn.nubip.edu.ua/mod/glossary/showentry.php?eid=198912&amp;displayformat=dictionary" \o "Словник термінів: Турист" </w:instrText>
      </w:r>
      <w:r w:rsidR="00222430" w:rsidRPr="00AB52E6">
        <w:rPr>
          <w:rFonts w:ascii="Times New Roman" w:hAnsi="Times New Roman" w:cs="Times New Roman"/>
          <w:sz w:val="28"/>
          <w:szCs w:val="28"/>
        </w:rPr>
        <w:fldChar w:fldCharType="separate"/>
      </w:r>
      <w:r w:rsidR="00524CD4" w:rsidRPr="00AB52E6">
        <w:rPr>
          <w:rFonts w:ascii="Times New Roman" w:eastAsia="Times New Roman" w:hAnsi="Times New Roman" w:cs="Times New Roman"/>
          <w:bCs/>
          <w:sz w:val="28"/>
          <w:szCs w:val="28"/>
        </w:rPr>
        <w:t>турист</w:t>
      </w:r>
      <w:r w:rsidR="00222430" w:rsidRPr="00AB52E6"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ичні</w:t>
      </w:r>
      <w:proofErr w:type="spell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lastRenderedPageBreak/>
        <w:t>-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  готелі для масового туризму;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spell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готелі</w:t>
      </w:r>
      <w:proofErr w:type="spell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сімейного</w:t>
      </w:r>
      <w:proofErr w:type="spell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відпочинку;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спец</w:t>
      </w:r>
      <w:proofErr w:type="gram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іалізовані туристичні.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Особливої уваги потребує питання щодо вивчення специфічних функціональних характеристик та вимог до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ідприємств цих типів.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Тема вимагає ознайомлення з: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  особливостями умов </w:t>
      </w:r>
      <w:proofErr w:type="gram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відпочинку і спортивних розваг;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spell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організацією</w:t>
      </w:r>
      <w:proofErr w:type="spell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харчування</w:t>
      </w:r>
      <w:proofErr w:type="spell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spell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послугами</w:t>
      </w:r>
      <w:proofErr w:type="spell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торгі</w:t>
      </w:r>
      <w:proofErr w:type="gram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вл</w:t>
      </w:r>
      <w:proofErr w:type="gram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 xml:space="preserve">  можливостями гнучкої зміни </w:t>
      </w:r>
      <w:proofErr w:type="gramStart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істкості номерного фонду;</w:t>
      </w:r>
    </w:p>
    <w:p w:rsidR="00524CD4" w:rsidRPr="00AB52E6" w:rsidRDefault="00AB52E6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24CD4" w:rsidRPr="00AB52E6">
        <w:rPr>
          <w:rFonts w:ascii="Times New Roman" w:eastAsia="Times New Roman" w:hAnsi="Times New Roman" w:cs="Times New Roman"/>
          <w:sz w:val="28"/>
          <w:szCs w:val="28"/>
        </w:rPr>
        <w:t>  особливостями організації приміщень для ігор дітей.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Перед вивченням основних питань теми студент повинен усвідомити необхідність систематизації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ідприємств готельного господарства за класами. Для вирішення цього завдання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доц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ільно проаналізувати історичні підходи до класифікації засобів розміщення.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При цьому слід засвоїти основні принципи та загальні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ідходи до класифікації підприємств готельного господарства в різних країнах Європи, Америки, Азіатських країн.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Заслуговують на глибокий аналіз рекомендації ВТО щодо створення пропозиції про існування декількох систем класифікації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ідприємств готельного господарства.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При розгляді класифікації засобів розміщення належить розгляну їй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ідходи до розробки документів, які встановлюють класифікацію і порядок її наступного проведення, притаманні міжнародній та вітчизняній практиці.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Важливим аспектом у вивченні теми є усвідомлення основних принципів та загальних вимог до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ідприємств готельного господарства.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На особливу увагу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 час вивчення теми заслуговують питання щодо вивчення та засвоєння мінімальних вимог до підприємств готельного господарства різних категорій, що зафіксовані в законодавчій базі.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24CD4" w:rsidRPr="00AB52E6" w:rsidRDefault="00524CD4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для студентів</w:t>
      </w:r>
      <w:r w:rsidR="00804211" w:rsidRPr="00AB52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(обрати одну із тем та підготувати презентацію)</w:t>
      </w:r>
    </w:p>
    <w:p w:rsidR="005101B1" w:rsidRPr="00AB52E6" w:rsidRDefault="005101B1" w:rsidP="00AB52E6">
      <w:pPr>
        <w:shd w:val="clear" w:color="auto" w:fill="FFFFFF"/>
        <w:spacing w:after="0" w:line="240" w:lineRule="auto"/>
        <w:ind w:firstLine="28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Pr="00AB52E6">
        <w:rPr>
          <w:rFonts w:ascii="Times New Roman" w:eastAsia="Times New Roman" w:hAnsi="Times New Roman" w:cs="Times New Roman"/>
          <w:b/>
          <w:bCs/>
          <w:sz w:val="28"/>
          <w:szCs w:val="28"/>
        </w:rPr>
        <w:t>Готелі ділового призначення</w:t>
      </w:r>
    </w:p>
    <w:p w:rsidR="005101B1" w:rsidRPr="00AB52E6" w:rsidRDefault="005101B1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Обрати країну або локальну місцевість (місто, область, регіон), вибрати 3-4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ідприємства готельного господарства ділового призначення та презентувати їх особливості, що дозволяють їх</w:t>
      </w:r>
      <w:r w:rsidRPr="00AB52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B52E6">
        <w:rPr>
          <w:rFonts w:ascii="Times New Roman" w:eastAsia="Times New Roman" w:hAnsi="Times New Roman" w:cs="Times New Roman"/>
          <w:sz w:val="28"/>
          <w:szCs w:val="28"/>
        </w:rPr>
        <w:t>віднести до досліджуваної групи.</w:t>
      </w:r>
      <w:r w:rsidRPr="00AB52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B52E6">
        <w:rPr>
          <w:rFonts w:ascii="Times New Roman" w:eastAsia="Times New Roman" w:hAnsi="Times New Roman" w:cs="Times New Roman"/>
          <w:sz w:val="28"/>
          <w:szCs w:val="28"/>
        </w:rPr>
        <w:t>Виступити з презентативною доповіддю</w:t>
      </w:r>
      <w:r w:rsidRPr="00AB52E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101B1" w:rsidRPr="00AB52E6" w:rsidRDefault="005101B1" w:rsidP="00AB52E6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AB52E6">
        <w:rPr>
          <w:sz w:val="28"/>
          <w:szCs w:val="28"/>
          <w:lang w:val="uk-UA"/>
        </w:rPr>
        <w:t xml:space="preserve">2. </w:t>
      </w:r>
      <w:r w:rsidRPr="00AB52E6">
        <w:rPr>
          <w:sz w:val="28"/>
          <w:szCs w:val="28"/>
        </w:rPr>
        <w:t>"</w:t>
      </w:r>
      <w:proofErr w:type="gramStart"/>
      <w:r w:rsidRPr="00AB52E6">
        <w:rPr>
          <w:sz w:val="28"/>
          <w:szCs w:val="28"/>
        </w:rPr>
        <w:t>Св</w:t>
      </w:r>
      <w:proofErr w:type="gramEnd"/>
      <w:r w:rsidRPr="00AB52E6">
        <w:rPr>
          <w:sz w:val="28"/>
          <w:szCs w:val="28"/>
        </w:rPr>
        <w:t>ітовий досвід типізації підприємств готельного госопдарства""</w:t>
      </w:r>
    </w:p>
    <w:p w:rsidR="005101B1" w:rsidRPr="00AB52E6" w:rsidRDefault="005101B1" w:rsidP="00AB52E6">
      <w:pPr>
        <w:pStyle w:val="a3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AB52E6">
        <w:rPr>
          <w:sz w:val="28"/>
          <w:szCs w:val="28"/>
        </w:rPr>
        <w:t xml:space="preserve">Оберіть на мапі </w:t>
      </w:r>
      <w:proofErr w:type="gramStart"/>
      <w:r w:rsidRPr="00AB52E6">
        <w:rPr>
          <w:sz w:val="28"/>
          <w:szCs w:val="28"/>
        </w:rPr>
        <w:t>св</w:t>
      </w:r>
      <w:proofErr w:type="gramEnd"/>
      <w:r w:rsidRPr="00AB52E6">
        <w:rPr>
          <w:sz w:val="28"/>
          <w:szCs w:val="28"/>
        </w:rPr>
        <w:t>іту країну та визначіть які типи підприємств готельного господарства функціонують на її території. Підготуйте коротку доповідь-презентацію.</w:t>
      </w:r>
    </w:p>
    <w:p w:rsidR="005101B1" w:rsidRPr="00AB52E6" w:rsidRDefault="005101B1" w:rsidP="00AB52E6">
      <w:pPr>
        <w:pStyle w:val="2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 w:rsidRPr="00AB52E6">
        <w:rPr>
          <w:sz w:val="28"/>
          <w:szCs w:val="28"/>
          <w:lang w:val="uk-UA"/>
        </w:rPr>
        <w:t xml:space="preserve">3. </w:t>
      </w:r>
      <w:r w:rsidRPr="00AB52E6">
        <w:rPr>
          <w:sz w:val="28"/>
          <w:szCs w:val="28"/>
        </w:rPr>
        <w:t xml:space="preserve">"Спеціалізовані </w:t>
      </w:r>
      <w:proofErr w:type="gramStart"/>
      <w:r w:rsidRPr="00AB52E6">
        <w:rPr>
          <w:sz w:val="28"/>
          <w:szCs w:val="28"/>
        </w:rPr>
        <w:t>п</w:t>
      </w:r>
      <w:proofErr w:type="gramEnd"/>
      <w:r w:rsidRPr="00AB52E6">
        <w:rPr>
          <w:sz w:val="28"/>
          <w:szCs w:val="28"/>
        </w:rPr>
        <w:t>ідприємства готельного господарства"</w:t>
      </w:r>
    </w:p>
    <w:p w:rsidR="005101B1" w:rsidRPr="00AB52E6" w:rsidRDefault="005101B1" w:rsidP="00AB52E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2E6">
        <w:rPr>
          <w:rFonts w:ascii="Times New Roman" w:eastAsia="Times New Roman" w:hAnsi="Times New Roman" w:cs="Times New Roman"/>
          <w:sz w:val="28"/>
          <w:szCs w:val="28"/>
        </w:rPr>
        <w:t xml:space="preserve">Обрати один з типів </w:t>
      </w:r>
      <w:proofErr w:type="gramStart"/>
      <w:r w:rsidRPr="00AB52E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B52E6">
        <w:rPr>
          <w:rFonts w:ascii="Times New Roman" w:eastAsia="Times New Roman" w:hAnsi="Times New Roman" w:cs="Times New Roman"/>
          <w:sz w:val="28"/>
          <w:szCs w:val="28"/>
        </w:rPr>
        <w:t>ідприємства готельного господарства групи "Спеціалізовані" та підготувати презентативну доповідь щодо особливостей їх організації. Презентація завантажити у папку, як виконане завдання</w:t>
      </w:r>
    </w:p>
    <w:p w:rsidR="005101B1" w:rsidRPr="00AB52E6" w:rsidRDefault="005101B1" w:rsidP="005101B1">
      <w:pPr>
        <w:pStyle w:val="a3"/>
        <w:shd w:val="clear" w:color="auto" w:fill="FFFFFF"/>
        <w:spacing w:before="0" w:beforeAutospacing="0"/>
        <w:rPr>
          <w:sz w:val="28"/>
          <w:szCs w:val="28"/>
          <w:lang w:val="uk-UA"/>
        </w:rPr>
      </w:pPr>
    </w:p>
    <w:p w:rsidR="005101B1" w:rsidRPr="005101B1" w:rsidRDefault="005101B1" w:rsidP="005101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uk-UA"/>
        </w:rPr>
      </w:pPr>
    </w:p>
    <w:p w:rsidR="00C23474" w:rsidRPr="005101B1" w:rsidRDefault="00C23474" w:rsidP="005101B1"/>
    <w:sectPr w:rsidR="00C23474" w:rsidRPr="0051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F714C"/>
    <w:multiLevelType w:val="multilevel"/>
    <w:tmpl w:val="5EDA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38"/>
    <w:rsid w:val="00302038"/>
    <w:rsid w:val="005101B1"/>
    <w:rsid w:val="00524CD4"/>
    <w:rsid w:val="00804211"/>
    <w:rsid w:val="00AB52E6"/>
    <w:rsid w:val="00C2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0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1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1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01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0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1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1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0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0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9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6355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14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mod/glossary/showentry.php?eid=198909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6&amp;displayformat=dictio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Климчук</dc:creator>
  <cp:lastModifiedBy>Игорь</cp:lastModifiedBy>
  <cp:revision>2</cp:revision>
  <dcterms:created xsi:type="dcterms:W3CDTF">2023-11-06T20:06:00Z</dcterms:created>
  <dcterms:modified xsi:type="dcterms:W3CDTF">2023-11-06T20:06:00Z</dcterms:modified>
</cp:coreProperties>
</file>