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0640" w14:textId="77777777" w:rsidR="00BF3D6A" w:rsidRDefault="00BF3D6A" w:rsidP="00BF3D6A">
      <w:pPr>
        <w:pStyle w:val="a3"/>
        <w:shd w:val="clear" w:color="auto" w:fill="FFFFFF"/>
        <w:spacing w:before="0" w:beforeAutospacing="0" w:after="408" w:afterAutospacing="0"/>
        <w:ind w:left="-567"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D16971" wp14:editId="35F1A679">
            <wp:simplePos x="0" y="0"/>
            <wp:positionH relativeFrom="column">
              <wp:posOffset>2748915</wp:posOffset>
            </wp:positionH>
            <wp:positionV relativeFrom="paragraph">
              <wp:posOffset>-3175</wp:posOffset>
            </wp:positionV>
            <wp:extent cx="3194050" cy="2136775"/>
            <wp:effectExtent l="0" t="0" r="0" b="0"/>
            <wp:wrapSquare wrapText="bothSides"/>
            <wp:docPr id="534908236" name="Рисунок 1" descr="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D6A">
        <w:rPr>
          <w:b/>
          <w:bCs/>
          <w:sz w:val="28"/>
          <w:szCs w:val="28"/>
        </w:rPr>
        <w:t>Філос</w:t>
      </w:r>
      <w:r w:rsidRPr="00BF3D6A">
        <w:rPr>
          <w:b/>
          <w:bCs/>
          <w:sz w:val="28"/>
          <w:szCs w:val="28"/>
        </w:rPr>
        <w:t>офія Нового часу</w:t>
      </w:r>
      <w:r w:rsidRPr="00BF3D6A">
        <w:rPr>
          <w:sz w:val="28"/>
          <w:szCs w:val="28"/>
        </w:rPr>
        <w:t xml:space="preserve"> —  період  поступового переходу  від капіталізму  </w:t>
      </w:r>
      <w:r w:rsidRPr="00BF3D6A">
        <w:rPr>
          <w:b/>
          <w:bCs/>
          <w:sz w:val="28"/>
          <w:szCs w:val="28"/>
        </w:rPr>
        <w:t>до  прогресивного розвитку людського  інтелекту  і швидкого освоєння  людиною  науки і техніки.</w:t>
      </w:r>
      <w:r w:rsidRPr="00BF3D6A">
        <w:rPr>
          <w:sz w:val="28"/>
          <w:szCs w:val="28"/>
        </w:rPr>
        <w:t xml:space="preserve">  </w:t>
      </w:r>
    </w:p>
    <w:p w14:paraId="54C7B944" w14:textId="2B9041EE" w:rsidR="00BF3D6A" w:rsidRPr="00BF3D6A" w:rsidRDefault="00BF3D6A" w:rsidP="00BF3D6A">
      <w:pPr>
        <w:pStyle w:val="a3"/>
        <w:shd w:val="clear" w:color="auto" w:fill="FFFFFF"/>
        <w:spacing w:before="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В історії філософії цей період  датується   XVII  століттям, коли  в Західній Європі   розпочинається інтенсивний  рух   науково – технічного виробництва,  що  характерний  появою  точних наук, таких як  </w:t>
      </w:r>
      <w:r w:rsidRPr="00BF3D6A">
        <w:rPr>
          <w:b/>
          <w:bCs/>
          <w:sz w:val="28"/>
          <w:szCs w:val="28"/>
        </w:rPr>
        <w:t>механіка  та математика</w:t>
      </w:r>
      <w:r w:rsidRPr="00BF3D6A">
        <w:rPr>
          <w:sz w:val="28"/>
          <w:szCs w:val="28"/>
        </w:rPr>
        <w:t>.</w:t>
      </w:r>
    </w:p>
    <w:p w14:paraId="0D1B4371" w14:textId="4676FC11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b/>
          <w:bCs/>
          <w:sz w:val="28"/>
          <w:szCs w:val="28"/>
        </w:rPr>
      </w:pPr>
      <w:r w:rsidRPr="00BF3D6A">
        <w:rPr>
          <w:sz w:val="28"/>
          <w:szCs w:val="28"/>
        </w:rPr>
        <w:t xml:space="preserve">У філософії  виникає  своєрідний напрям, який став називатися </w:t>
      </w:r>
      <w:r w:rsidRPr="00BF3D6A">
        <w:rPr>
          <w:b/>
          <w:bCs/>
          <w:sz w:val="28"/>
          <w:szCs w:val="28"/>
        </w:rPr>
        <w:t>механіцизмом.</w:t>
      </w:r>
      <w:r w:rsidRPr="00BF3D6A">
        <w:rPr>
          <w:sz w:val="28"/>
          <w:szCs w:val="28"/>
        </w:rPr>
        <w:t xml:space="preserve"> У механіцизмі  природа   розглядається    як  великий механізм, що запущений у дію; людина – це  ініціативний  діючий працівник. Од</w:t>
      </w:r>
      <w:r>
        <w:rPr>
          <w:sz w:val="28"/>
          <w:szCs w:val="28"/>
        </w:rPr>
        <w:t>ніє</w:t>
      </w:r>
      <w:r w:rsidRPr="00BF3D6A">
        <w:rPr>
          <w:sz w:val="28"/>
          <w:szCs w:val="28"/>
        </w:rPr>
        <w:t xml:space="preserve">ю із основних тем  в період Нового часу  постає  </w:t>
      </w:r>
      <w:r w:rsidRPr="00BF3D6A">
        <w:rPr>
          <w:b/>
          <w:bCs/>
          <w:sz w:val="28"/>
          <w:szCs w:val="28"/>
        </w:rPr>
        <w:t>концепція  пізнання.</w:t>
      </w:r>
    </w:p>
    <w:p w14:paraId="676C9EB1" w14:textId="77777777" w:rsid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В  ході  цієї концепції  починають утворюватися  дві   течії. </w:t>
      </w:r>
    </w:p>
    <w:p w14:paraId="1CF1E6AD" w14:textId="77777777" w:rsid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Серед них вирізнялися  </w:t>
      </w:r>
      <w:r w:rsidRPr="00BF3D6A">
        <w:rPr>
          <w:b/>
          <w:bCs/>
          <w:sz w:val="28"/>
          <w:szCs w:val="28"/>
        </w:rPr>
        <w:t>емпіризм та раціоналізм</w:t>
      </w:r>
      <w:r w:rsidRPr="00BF3D6A">
        <w:rPr>
          <w:sz w:val="28"/>
          <w:szCs w:val="28"/>
        </w:rPr>
        <w:t xml:space="preserve">. Вони   по – різному трактували  джерело пізнання  і людську природу.   </w:t>
      </w:r>
    </w:p>
    <w:p w14:paraId="69F70271" w14:textId="6B1422E6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Так </w:t>
      </w:r>
      <w:r w:rsidRPr="00BF3D6A">
        <w:rPr>
          <w:b/>
          <w:bCs/>
          <w:sz w:val="28"/>
          <w:szCs w:val="28"/>
        </w:rPr>
        <w:t>емпірики</w:t>
      </w:r>
      <w:r w:rsidRPr="00BF3D6A">
        <w:rPr>
          <w:sz w:val="28"/>
          <w:szCs w:val="28"/>
        </w:rPr>
        <w:t>  </w:t>
      </w:r>
      <w:hyperlink r:id="rId5" w:history="1">
        <w:r w:rsidRPr="00BF3D6A">
          <w:rPr>
            <w:rStyle w:val="a4"/>
            <w:color w:val="AB6515"/>
            <w:sz w:val="28"/>
            <w:szCs w:val="28"/>
            <w:u w:val="none"/>
          </w:rPr>
          <w:t>Фре</w:t>
        </w:r>
        <w:r w:rsidRPr="00BF3D6A">
          <w:rPr>
            <w:rStyle w:val="a4"/>
            <w:color w:val="AB6515"/>
            <w:sz w:val="28"/>
            <w:szCs w:val="28"/>
            <w:u w:val="none"/>
          </w:rPr>
          <w:t>нсіс Бекон</w:t>
        </w:r>
      </w:hyperlink>
      <w:r w:rsidRPr="00BF3D6A">
        <w:rPr>
          <w:sz w:val="28"/>
          <w:szCs w:val="28"/>
        </w:rPr>
        <w:t>  і </w:t>
      </w:r>
      <w:hyperlink r:id="rId6" w:history="1">
        <w:r w:rsidRPr="00BF3D6A">
          <w:rPr>
            <w:rStyle w:val="a4"/>
            <w:color w:val="AB6515"/>
            <w:sz w:val="28"/>
            <w:szCs w:val="28"/>
            <w:u w:val="none"/>
          </w:rPr>
          <w:t>Дж</w:t>
        </w:r>
        <w:r w:rsidRPr="00BF3D6A">
          <w:rPr>
            <w:rStyle w:val="a4"/>
            <w:color w:val="AB6515"/>
            <w:sz w:val="28"/>
            <w:szCs w:val="28"/>
            <w:u w:val="none"/>
          </w:rPr>
          <w:t>он Локк </w:t>
        </w:r>
      </w:hyperlink>
      <w:r w:rsidRPr="00BF3D6A">
        <w:rPr>
          <w:sz w:val="28"/>
          <w:szCs w:val="28"/>
        </w:rPr>
        <w:t> пояснювали</w:t>
      </w:r>
      <w:r>
        <w:rPr>
          <w:sz w:val="28"/>
          <w:szCs w:val="28"/>
        </w:rPr>
        <w:t>, що</w:t>
      </w:r>
      <w:r w:rsidRPr="00BF3D6A">
        <w:rPr>
          <w:sz w:val="28"/>
          <w:szCs w:val="28"/>
        </w:rPr>
        <w:t xml:space="preserve"> джерел</w:t>
      </w:r>
      <w:r>
        <w:rPr>
          <w:sz w:val="28"/>
          <w:szCs w:val="28"/>
        </w:rPr>
        <w:t>о</w:t>
      </w:r>
      <w:r w:rsidRPr="00BF3D6A">
        <w:rPr>
          <w:sz w:val="28"/>
          <w:szCs w:val="28"/>
        </w:rPr>
        <w:t>  достовірних знань  про цей світ</w:t>
      </w:r>
      <w:r>
        <w:rPr>
          <w:sz w:val="28"/>
          <w:szCs w:val="28"/>
        </w:rPr>
        <w:t xml:space="preserve"> - </w:t>
      </w:r>
      <w:r w:rsidRPr="00BF3D6A">
        <w:rPr>
          <w:sz w:val="28"/>
          <w:szCs w:val="28"/>
        </w:rPr>
        <w:t xml:space="preserve">відчуття </w:t>
      </w:r>
      <w:r>
        <w:rPr>
          <w:sz w:val="28"/>
          <w:szCs w:val="28"/>
        </w:rPr>
        <w:t>та</w:t>
      </w:r>
      <w:r w:rsidRPr="00BF3D6A">
        <w:rPr>
          <w:sz w:val="28"/>
          <w:szCs w:val="28"/>
        </w:rPr>
        <w:t xml:space="preserve"> людський досвід.    Досить  чітко  була викладена  позиція  Бекона у його філософських працях.  Філософ  базувався  не на відчуттях, як це було продемонстровано  у Локка, а швидше  на досвіді.  Він відкидав  такі емпіричні методи пізнання  світу  як  спостереження  і експеримент, вважаючи їх недоцільними.</w:t>
      </w:r>
    </w:p>
    <w:p w14:paraId="44259253" w14:textId="1E44AA66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>В тім  підтримував  ідею  про філософію як досвідчену  науку,  яка на його думку повинна  базуватись  на  спостереженні, де предметом  пізнання  повинен бути  навколишній світ і людина.  Тому  емпірики  закликали  покла</w:t>
      </w:r>
      <w:r>
        <w:rPr>
          <w:sz w:val="28"/>
          <w:szCs w:val="28"/>
        </w:rPr>
        <w:t>да</w:t>
      </w:r>
      <w:r w:rsidRPr="00BF3D6A">
        <w:rPr>
          <w:sz w:val="28"/>
          <w:szCs w:val="28"/>
        </w:rPr>
        <w:t>тися  на  досягнення  людського досвіду, перевіреного на практиці.</w:t>
      </w:r>
    </w:p>
    <w:p w14:paraId="706B5BDB" w14:textId="754EAFC8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b/>
          <w:bCs/>
          <w:sz w:val="28"/>
          <w:szCs w:val="28"/>
        </w:rPr>
        <w:t>Раціоналісти</w:t>
      </w:r>
      <w:r w:rsidRPr="00BF3D6A">
        <w:rPr>
          <w:sz w:val="28"/>
          <w:szCs w:val="28"/>
        </w:rPr>
        <w:t>  вважали  основним джерелом пізнання  світ</w:t>
      </w:r>
      <w:r>
        <w:rPr>
          <w:sz w:val="28"/>
          <w:szCs w:val="28"/>
        </w:rPr>
        <w:t>у</w:t>
      </w:r>
      <w:r w:rsidRPr="00BF3D6A">
        <w:rPr>
          <w:sz w:val="28"/>
          <w:szCs w:val="28"/>
        </w:rPr>
        <w:t xml:space="preserve"> людське  знання. Прихильниками таких поглядів  були  </w:t>
      </w:r>
      <w:proofErr w:type="spellStart"/>
      <w:r w:rsidRPr="00BF3D6A">
        <w:rPr>
          <w:sz w:val="28"/>
          <w:szCs w:val="28"/>
        </w:rPr>
        <w:t>Рене</w:t>
      </w:r>
      <w:proofErr w:type="spellEnd"/>
      <w:r w:rsidRPr="00BF3D6A">
        <w:rPr>
          <w:sz w:val="28"/>
          <w:szCs w:val="28"/>
        </w:rPr>
        <w:t xml:space="preserve"> Декарт, Бенедикт Спіноза, </w:t>
      </w:r>
      <w:proofErr w:type="spellStart"/>
      <w:r w:rsidRPr="00BF3D6A">
        <w:rPr>
          <w:sz w:val="28"/>
          <w:szCs w:val="28"/>
        </w:rPr>
        <w:t>Готфрід</w:t>
      </w:r>
      <w:proofErr w:type="spellEnd"/>
      <w:r w:rsidRPr="00BF3D6A">
        <w:rPr>
          <w:sz w:val="28"/>
          <w:szCs w:val="28"/>
        </w:rPr>
        <w:t xml:space="preserve"> Лейбніц. Засновником та ідеологом  раціоналізму вважають  французького філософа  </w:t>
      </w:r>
      <w:proofErr w:type="spellStart"/>
      <w:r w:rsidRPr="00BF3D6A">
        <w:rPr>
          <w:sz w:val="28"/>
          <w:szCs w:val="28"/>
        </w:rPr>
        <w:t>Рене</w:t>
      </w:r>
      <w:proofErr w:type="spellEnd"/>
      <w:r w:rsidRPr="00BF3D6A">
        <w:rPr>
          <w:sz w:val="28"/>
          <w:szCs w:val="28"/>
        </w:rPr>
        <w:t xml:space="preserve"> Декарта.  Мислитель вважав, що не потрібно покладатися  тільки лише на одну віру, а на достовірність  висновків, нічого не приймаючи  за кінцеву істину.</w:t>
      </w:r>
    </w:p>
    <w:p w14:paraId="61AFDB5D" w14:textId="1B07D17E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lastRenderedPageBreak/>
        <w:t xml:space="preserve">Декарт  говорив   такі слова: </w:t>
      </w:r>
      <w:proofErr w:type="spellStart"/>
      <w:r w:rsidRPr="00BF3D6A">
        <w:rPr>
          <w:sz w:val="28"/>
          <w:szCs w:val="28"/>
        </w:rPr>
        <w:t>Cogito</w:t>
      </w:r>
      <w:proofErr w:type="spellEnd"/>
      <w:r w:rsidRPr="00BF3D6A">
        <w:rPr>
          <w:sz w:val="28"/>
          <w:szCs w:val="28"/>
        </w:rPr>
        <w:t xml:space="preserve"> </w:t>
      </w:r>
      <w:proofErr w:type="spellStart"/>
      <w:r w:rsidRPr="00BF3D6A">
        <w:rPr>
          <w:sz w:val="28"/>
          <w:szCs w:val="28"/>
        </w:rPr>
        <w:t>ergo</w:t>
      </w:r>
      <w:proofErr w:type="spellEnd"/>
      <w:r w:rsidRPr="00BF3D6A">
        <w:rPr>
          <w:sz w:val="28"/>
          <w:szCs w:val="28"/>
        </w:rPr>
        <w:t xml:space="preserve"> </w:t>
      </w:r>
      <w:proofErr w:type="spellStart"/>
      <w:r w:rsidRPr="00BF3D6A">
        <w:rPr>
          <w:sz w:val="28"/>
          <w:szCs w:val="28"/>
        </w:rPr>
        <w:t>sum</w:t>
      </w:r>
      <w:proofErr w:type="spellEnd"/>
      <w:r>
        <w:rPr>
          <w:sz w:val="28"/>
          <w:szCs w:val="28"/>
        </w:rPr>
        <w:t xml:space="preserve">, </w:t>
      </w:r>
      <w:r w:rsidRPr="00BF3D6A">
        <w:rPr>
          <w:sz w:val="28"/>
          <w:szCs w:val="28"/>
        </w:rPr>
        <w:t>що в даному перекладі з латини означає «Я мислю – отже я існую».</w:t>
      </w:r>
    </w:p>
    <w:p w14:paraId="327F73E6" w14:textId="77777777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Поряд  з раціоналізмом   починає відроджуватись  такий філософський напрям як </w:t>
      </w:r>
      <w:r w:rsidRPr="00BF3D6A">
        <w:rPr>
          <w:b/>
          <w:bCs/>
          <w:sz w:val="28"/>
          <w:szCs w:val="28"/>
        </w:rPr>
        <w:t>агностицизм.</w:t>
      </w:r>
      <w:r w:rsidRPr="00BF3D6A">
        <w:rPr>
          <w:sz w:val="28"/>
          <w:szCs w:val="28"/>
        </w:rPr>
        <w:t xml:space="preserve"> Як  відомо  агностицизм  заперечував  відчуття і досвід  — дві емпіричні складові пізнання людиною  світу.  Представниками цього напряму стали </w:t>
      </w:r>
      <w:hyperlink r:id="rId7" w:history="1">
        <w:r w:rsidRPr="00BF3D6A">
          <w:rPr>
            <w:rStyle w:val="a4"/>
            <w:color w:val="AB6515"/>
            <w:sz w:val="28"/>
            <w:szCs w:val="28"/>
            <w:u w:val="none"/>
          </w:rPr>
          <w:t xml:space="preserve">Джордж </w:t>
        </w:r>
        <w:proofErr w:type="spellStart"/>
        <w:r w:rsidRPr="00BF3D6A">
          <w:rPr>
            <w:rStyle w:val="a4"/>
            <w:color w:val="AB6515"/>
            <w:sz w:val="28"/>
            <w:szCs w:val="28"/>
            <w:u w:val="none"/>
          </w:rPr>
          <w:t>Берклі</w:t>
        </w:r>
        <w:proofErr w:type="spellEnd"/>
      </w:hyperlink>
      <w:r w:rsidRPr="00BF3D6A">
        <w:rPr>
          <w:sz w:val="28"/>
          <w:szCs w:val="28"/>
        </w:rPr>
        <w:t> і </w:t>
      </w:r>
      <w:hyperlink r:id="rId8" w:history="1">
        <w:r w:rsidRPr="00BF3D6A">
          <w:rPr>
            <w:rStyle w:val="a4"/>
            <w:color w:val="AB6515"/>
            <w:sz w:val="28"/>
            <w:szCs w:val="28"/>
            <w:u w:val="none"/>
          </w:rPr>
          <w:t>Девід Юм</w:t>
        </w:r>
      </w:hyperlink>
      <w:r w:rsidRPr="00BF3D6A">
        <w:rPr>
          <w:sz w:val="28"/>
          <w:szCs w:val="28"/>
        </w:rPr>
        <w:t>.</w:t>
      </w:r>
    </w:p>
    <w:p w14:paraId="3FE89BD6" w14:textId="77777777" w:rsid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Філософи – агностики  стверджували, що людина  може пізнати  тільки світ  феноменів (явищ), але  не в силі проникнути  в глибину речей і дійти  до законів  середовища природи, яка її оточує. </w:t>
      </w:r>
    </w:p>
    <w:p w14:paraId="5E8E14B8" w14:textId="7DFBCCB1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Протилежною позицією   агностицизму  став </w:t>
      </w:r>
      <w:r w:rsidRPr="00BF3D6A">
        <w:rPr>
          <w:b/>
          <w:bCs/>
          <w:sz w:val="28"/>
          <w:szCs w:val="28"/>
        </w:rPr>
        <w:t>пантеїзм,</w:t>
      </w:r>
      <w:r w:rsidRPr="00BF3D6A">
        <w:rPr>
          <w:sz w:val="28"/>
          <w:szCs w:val="28"/>
        </w:rPr>
        <w:t xml:space="preserve"> ідею якого підтримував  філософ Бенедикт Спіноза.  Мислитель вважав природу  причиною  самої себе і усіх  процесів, які в ній відбуваються. На його думку, Бог  не  розташовується над   натуральним світом, а є всього  лише  внутрішньою причиною  природи.  Знання  можуть  досягатися  за допомоги  розуму як єдиної умови   вільної  діяльності самої ж людини.</w:t>
      </w:r>
    </w:p>
    <w:p w14:paraId="303F50A2" w14:textId="77777777" w:rsid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hyperlink r:id="rId9" w:history="1">
        <w:proofErr w:type="spellStart"/>
        <w:r w:rsidRPr="00BF3D6A">
          <w:rPr>
            <w:rStyle w:val="a4"/>
            <w:color w:val="AB6515"/>
            <w:sz w:val="28"/>
            <w:szCs w:val="28"/>
            <w:u w:val="none"/>
          </w:rPr>
          <w:t>Готфрід</w:t>
        </w:r>
        <w:proofErr w:type="spellEnd"/>
        <w:r w:rsidRPr="00BF3D6A">
          <w:rPr>
            <w:rStyle w:val="a4"/>
            <w:color w:val="AB6515"/>
            <w:sz w:val="28"/>
            <w:szCs w:val="28"/>
            <w:u w:val="none"/>
          </w:rPr>
          <w:t xml:space="preserve"> Лейбніц </w:t>
        </w:r>
      </w:hyperlink>
      <w:r w:rsidRPr="00BF3D6A">
        <w:rPr>
          <w:sz w:val="28"/>
          <w:szCs w:val="28"/>
        </w:rPr>
        <w:t xml:space="preserve"> розглядає   у своїй філософії  духовний характер  цього світу.  В його уявленнях,   основою  світобудови є монади  — одиниці буття, що надають світові  гармонію і різноманітність. </w:t>
      </w:r>
    </w:p>
    <w:p w14:paraId="0BBDD2B4" w14:textId="080521DC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Широкої  популярності  в середовищі суспільства  набув </w:t>
      </w:r>
      <w:r w:rsidRPr="00BF3D6A">
        <w:rPr>
          <w:b/>
          <w:bCs/>
          <w:sz w:val="28"/>
          <w:szCs w:val="28"/>
        </w:rPr>
        <w:t>правовий світогляд</w:t>
      </w:r>
      <w:r w:rsidRPr="00BF3D6A">
        <w:rPr>
          <w:sz w:val="28"/>
          <w:szCs w:val="28"/>
        </w:rPr>
        <w:t xml:space="preserve">.  Починалася  розвиватися теорія  суспільного  договору, авторами якого стали філософи </w:t>
      </w:r>
      <w:proofErr w:type="spellStart"/>
      <w:r w:rsidRPr="00BF3D6A">
        <w:rPr>
          <w:sz w:val="28"/>
          <w:szCs w:val="28"/>
        </w:rPr>
        <w:t>Гобс</w:t>
      </w:r>
      <w:proofErr w:type="spellEnd"/>
      <w:r w:rsidRPr="00BF3D6A">
        <w:rPr>
          <w:sz w:val="28"/>
          <w:szCs w:val="28"/>
        </w:rPr>
        <w:t xml:space="preserve"> і Локк. Теорія  намагалася пояснити  виникнення держави, її походження, добровільну згоду людей  заради своєї  безпеки.  Започаткований світогляд   продовжував  ідею   природнього права людин</w:t>
      </w:r>
      <w:r>
        <w:rPr>
          <w:sz w:val="28"/>
          <w:szCs w:val="28"/>
        </w:rPr>
        <w:t>и</w:t>
      </w:r>
      <w:r w:rsidRPr="00BF3D6A">
        <w:rPr>
          <w:sz w:val="28"/>
          <w:szCs w:val="28"/>
        </w:rPr>
        <w:t>  на її свободу і матеріальну  власність.</w:t>
      </w:r>
    </w:p>
    <w:p w14:paraId="0C490089" w14:textId="6D2E6EE8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>Правовий світогляд  собою  викликав різні настрої  молодої буржуазії  як сформованого класу   в епоху Н</w:t>
      </w:r>
      <w:r w:rsidRPr="00BF3D6A">
        <w:rPr>
          <w:sz w:val="28"/>
          <w:szCs w:val="28"/>
        </w:rPr>
        <w:t xml:space="preserve">ового часу. Особливий внесок  у розвиток  соціального вчення  цієї доби було  зроблено у  XVIII  столітті  французьким просвітництвом, зокрема молодими і талановитими   філософами  </w:t>
      </w:r>
      <w:r w:rsidRPr="00BF3D6A">
        <w:rPr>
          <w:b/>
          <w:bCs/>
          <w:sz w:val="28"/>
          <w:szCs w:val="28"/>
        </w:rPr>
        <w:t xml:space="preserve">Жаном – Жаком </w:t>
      </w:r>
      <w:proofErr w:type="spellStart"/>
      <w:r w:rsidRPr="00BF3D6A">
        <w:rPr>
          <w:b/>
          <w:bCs/>
          <w:sz w:val="28"/>
          <w:szCs w:val="28"/>
        </w:rPr>
        <w:t>Русо</w:t>
      </w:r>
      <w:proofErr w:type="spellEnd"/>
      <w:r w:rsidRPr="00BF3D6A">
        <w:rPr>
          <w:b/>
          <w:bCs/>
          <w:sz w:val="28"/>
          <w:szCs w:val="28"/>
        </w:rPr>
        <w:t xml:space="preserve">, Шарлем </w:t>
      </w:r>
      <w:proofErr w:type="spellStart"/>
      <w:r w:rsidRPr="00BF3D6A">
        <w:rPr>
          <w:b/>
          <w:bCs/>
          <w:sz w:val="28"/>
          <w:szCs w:val="28"/>
        </w:rPr>
        <w:t>Монтескє</w:t>
      </w:r>
      <w:proofErr w:type="spellEnd"/>
      <w:r w:rsidRPr="00BF3D6A">
        <w:rPr>
          <w:b/>
          <w:bCs/>
          <w:sz w:val="28"/>
          <w:szCs w:val="28"/>
        </w:rPr>
        <w:t>, Вольтером.</w:t>
      </w:r>
      <w:r w:rsidRPr="00BF3D6A">
        <w:rPr>
          <w:sz w:val="28"/>
          <w:szCs w:val="28"/>
        </w:rPr>
        <w:t xml:space="preserve">  Їхня ідеологія  посприяла  підготовці   </w:t>
      </w:r>
      <w:r w:rsidRPr="00BF3D6A">
        <w:rPr>
          <w:b/>
          <w:bCs/>
          <w:sz w:val="28"/>
          <w:szCs w:val="28"/>
        </w:rPr>
        <w:t>французької  революції</w:t>
      </w:r>
      <w:r w:rsidRPr="00BF3D6A">
        <w:rPr>
          <w:sz w:val="28"/>
          <w:szCs w:val="28"/>
        </w:rPr>
        <w:t>, що відбулася у буремні 1789 -1794 роки.</w:t>
      </w:r>
    </w:p>
    <w:p w14:paraId="67A643A3" w14:textId="2E5CAE9A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Ідеологи цієї  концепції  почали сприймати  церкву  як мракобісів, </w:t>
      </w:r>
      <w:proofErr w:type="spellStart"/>
      <w:r w:rsidRPr="00BF3D6A">
        <w:rPr>
          <w:sz w:val="28"/>
          <w:szCs w:val="28"/>
        </w:rPr>
        <w:t>невдах</w:t>
      </w:r>
      <w:proofErr w:type="spellEnd"/>
      <w:r w:rsidRPr="00BF3D6A">
        <w:rPr>
          <w:sz w:val="28"/>
          <w:szCs w:val="28"/>
        </w:rPr>
        <w:t xml:space="preserve">, гальмо  суспільного розвитку, що стало  </w:t>
      </w:r>
      <w:proofErr w:type="spellStart"/>
      <w:r w:rsidRPr="00BF3D6A">
        <w:rPr>
          <w:sz w:val="28"/>
          <w:szCs w:val="28"/>
        </w:rPr>
        <w:t>символічнм</w:t>
      </w:r>
      <w:proofErr w:type="spellEnd"/>
      <w:r w:rsidRPr="00BF3D6A">
        <w:rPr>
          <w:sz w:val="28"/>
          <w:szCs w:val="28"/>
        </w:rPr>
        <w:t>  для </w:t>
      </w:r>
      <w:hyperlink r:id="rId10" w:history="1">
        <w:r w:rsidRPr="00BF3D6A">
          <w:rPr>
            <w:rStyle w:val="a4"/>
            <w:color w:val="AB6515"/>
            <w:sz w:val="28"/>
            <w:szCs w:val="28"/>
            <w:u w:val="none"/>
          </w:rPr>
          <w:t>епохи Просвітництва</w:t>
        </w:r>
      </w:hyperlink>
      <w:r w:rsidRPr="00BF3D6A">
        <w:rPr>
          <w:sz w:val="28"/>
          <w:szCs w:val="28"/>
        </w:rPr>
        <w:t xml:space="preserve">, тим самим  визначивши  </w:t>
      </w:r>
      <w:r w:rsidRPr="00BF3D6A">
        <w:rPr>
          <w:b/>
          <w:bCs/>
          <w:sz w:val="28"/>
          <w:szCs w:val="28"/>
        </w:rPr>
        <w:t>відділення церкви від самої держави</w:t>
      </w:r>
      <w:r w:rsidRPr="00BF3D6A">
        <w:rPr>
          <w:sz w:val="28"/>
          <w:szCs w:val="28"/>
        </w:rPr>
        <w:t>.</w:t>
      </w:r>
    </w:p>
    <w:p w14:paraId="707DA312" w14:textId="56B784FC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На думку </w:t>
      </w:r>
      <w:r w:rsidRPr="00BF3D6A">
        <w:rPr>
          <w:b/>
          <w:bCs/>
          <w:sz w:val="28"/>
          <w:szCs w:val="28"/>
        </w:rPr>
        <w:t>просвітників,</w:t>
      </w:r>
      <w:r w:rsidRPr="00BF3D6A">
        <w:rPr>
          <w:sz w:val="28"/>
          <w:szCs w:val="28"/>
        </w:rPr>
        <w:t xml:space="preserve">  суспільний  прогрес  є можливим завдяки  людському інтелекту, праву, науці та освіті. Людина ж є  природньо – суспільною </w:t>
      </w:r>
      <w:proofErr w:type="spellStart"/>
      <w:r w:rsidRPr="00BF3D6A">
        <w:rPr>
          <w:sz w:val="28"/>
          <w:szCs w:val="28"/>
        </w:rPr>
        <w:lastRenderedPageBreak/>
        <w:t>істотою</w:t>
      </w:r>
      <w:proofErr w:type="spellEnd"/>
      <w:r w:rsidRPr="00BF3D6A">
        <w:rPr>
          <w:sz w:val="28"/>
          <w:szCs w:val="28"/>
        </w:rPr>
        <w:t>, здатною  до  безкінечного  розвитку  і  досконалої діяльності. Приватна власність  стає на перешкоді  людської свободи, її волі,  яка   сприяє  людській нерівності,  породжує  заздрість, ворожнечу,  тому слід  створювати  нове суспільство  на основі  суспільної р</w:t>
      </w:r>
      <w:r w:rsidR="005870EC">
        <w:rPr>
          <w:sz w:val="28"/>
          <w:szCs w:val="28"/>
        </w:rPr>
        <w:t>і</w:t>
      </w:r>
      <w:r w:rsidRPr="00BF3D6A">
        <w:rPr>
          <w:sz w:val="28"/>
          <w:szCs w:val="28"/>
        </w:rPr>
        <w:t>вності  та соціальної справедливості.</w:t>
      </w:r>
    </w:p>
    <w:p w14:paraId="1EE5E818" w14:textId="597596C8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>Вагомий  внесок   у натуральне вчення, сутність людини, шляхи  виховання  людини   здійснили  французи – матеріалісти, з яких можна виділити   </w:t>
      </w:r>
      <w:hyperlink r:id="rId11" w:history="1">
        <w:r w:rsidRPr="00BF3D6A">
          <w:rPr>
            <w:rStyle w:val="a4"/>
            <w:color w:val="AB6515"/>
            <w:sz w:val="28"/>
            <w:szCs w:val="28"/>
            <w:u w:val="none"/>
          </w:rPr>
          <w:t>Дені Дідро</w:t>
        </w:r>
      </w:hyperlink>
      <w:r w:rsidRPr="00BF3D6A">
        <w:rPr>
          <w:sz w:val="28"/>
          <w:szCs w:val="28"/>
        </w:rPr>
        <w:t>, Гельвеція.</w:t>
      </w:r>
    </w:p>
    <w:p w14:paraId="362C4DBE" w14:textId="77777777" w:rsidR="005870EC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 xml:space="preserve">Мислителі  вважали, що людина є лише продуктом  навколишнього середовища. Тому  необхідні зміни  характерів  і обставин  життя  людей. </w:t>
      </w:r>
    </w:p>
    <w:p w14:paraId="7505B29D" w14:textId="09665735" w:rsidR="00BF3D6A" w:rsidRPr="00BF3D6A" w:rsidRDefault="00BF3D6A" w:rsidP="00BF3D6A">
      <w:pPr>
        <w:pStyle w:val="a3"/>
        <w:shd w:val="clear" w:color="auto" w:fill="FFFFFF"/>
        <w:spacing w:before="360" w:beforeAutospacing="0" w:after="408" w:afterAutospacing="0"/>
        <w:ind w:left="-567" w:firstLine="567"/>
        <w:jc w:val="both"/>
        <w:rPr>
          <w:sz w:val="28"/>
          <w:szCs w:val="28"/>
        </w:rPr>
      </w:pPr>
      <w:r w:rsidRPr="00BF3D6A">
        <w:rPr>
          <w:sz w:val="28"/>
          <w:szCs w:val="28"/>
        </w:rPr>
        <w:t>Матеріалісти  XVІІІ століття  стали своєрідним джерелом  на якому пізніше  виникне  так звана марксистська філософія Карла Маркса і </w:t>
      </w:r>
      <w:hyperlink r:id="rId12" w:history="1">
        <w:r w:rsidRPr="00BF3D6A">
          <w:rPr>
            <w:rStyle w:val="a4"/>
            <w:color w:val="AB6515"/>
            <w:sz w:val="28"/>
            <w:szCs w:val="28"/>
            <w:u w:val="none"/>
          </w:rPr>
          <w:t>Фрідріха Енгельса</w:t>
        </w:r>
      </w:hyperlink>
      <w:r w:rsidRPr="00BF3D6A">
        <w:rPr>
          <w:sz w:val="28"/>
          <w:szCs w:val="28"/>
        </w:rPr>
        <w:t>.</w:t>
      </w:r>
    </w:p>
    <w:p w14:paraId="3A8590E4" w14:textId="77777777" w:rsidR="00703908" w:rsidRPr="00BF3D6A" w:rsidRDefault="00703908" w:rsidP="00BF3D6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3908" w:rsidRPr="00BF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7C"/>
    <w:rsid w:val="000C2A38"/>
    <w:rsid w:val="000D7619"/>
    <w:rsid w:val="0013727C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5870EC"/>
    <w:rsid w:val="00601614"/>
    <w:rsid w:val="006D0000"/>
    <w:rsid w:val="00703908"/>
    <w:rsid w:val="00732D7C"/>
    <w:rsid w:val="007D3F3B"/>
    <w:rsid w:val="007F304A"/>
    <w:rsid w:val="00826F78"/>
    <w:rsid w:val="008F082C"/>
    <w:rsid w:val="00980FCA"/>
    <w:rsid w:val="00A208C2"/>
    <w:rsid w:val="00A67892"/>
    <w:rsid w:val="00AB24E2"/>
    <w:rsid w:val="00B02F37"/>
    <w:rsid w:val="00B67DB5"/>
    <w:rsid w:val="00BF3D6A"/>
    <w:rsid w:val="00C010E1"/>
    <w:rsid w:val="00CA6401"/>
    <w:rsid w:val="00D2110C"/>
    <w:rsid w:val="00D5251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4DC5"/>
  <w15:chartTrackingRefBased/>
  <w15:docId w15:val="{7445C5D3-902A-48F7-9F4C-D4A090E1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F3D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3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eligious.com.ua/devid-yum-1711-1776-r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ureligious.com.ua/dzhordzh-berkli-1685-1753-rr/" TargetMode="External"/><Relationship Id="rId12" Type="http://schemas.openxmlformats.org/officeDocument/2006/relationships/hyperlink" Target="http://tureligious.com.ua/fridrih-enhe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religious.com.ua/dzhon-lokk-1632-1704-rr/" TargetMode="External"/><Relationship Id="rId11" Type="http://schemas.openxmlformats.org/officeDocument/2006/relationships/hyperlink" Target="http://tureligious.com.ua/deni-didro-1713-1784-rr/" TargetMode="External"/><Relationship Id="rId5" Type="http://schemas.openxmlformats.org/officeDocument/2006/relationships/hyperlink" Target="http://tureligious.com.ua/zhyttya-ta-diyalnist-frensisa-bekona-1561-1626-rr/" TargetMode="External"/><Relationship Id="rId10" Type="http://schemas.openxmlformats.org/officeDocument/2006/relationships/hyperlink" Target="http://tureligious.com.ua/ratsionalizm-epohy-prosvitnytstv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tureligious.com.ua/klod-adrian-helvetsij-1715-177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3601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2023-10-14T21:01:00Z</dcterms:created>
  <dcterms:modified xsi:type="dcterms:W3CDTF">2023-10-14T21:01:00Z</dcterms:modified>
</cp:coreProperties>
</file>