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2E" w:rsidRDefault="005E792E" w:rsidP="005E792E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3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>Філософія Нового та Просвітництва. Німецька класична філософія</w:t>
      </w:r>
    </w:p>
    <w:p w:rsidR="005E792E" w:rsidRPr="00117B88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Емпіризм та його розвиток</w:t>
      </w:r>
      <w:r>
        <w:rPr>
          <w:rFonts w:ascii="Times New Roman" w:hAnsi="Times New Roman"/>
          <w:sz w:val="28"/>
          <w:szCs w:val="28"/>
        </w:rPr>
        <w:t xml:space="preserve">, філософське вчення </w:t>
      </w:r>
      <w:r w:rsidRPr="00117B8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117B88">
        <w:rPr>
          <w:rFonts w:ascii="Times New Roman" w:hAnsi="Times New Roman"/>
          <w:sz w:val="28"/>
          <w:szCs w:val="28"/>
        </w:rPr>
        <w:t>Бекон</w:t>
      </w:r>
      <w:r>
        <w:rPr>
          <w:rFonts w:ascii="Times New Roman" w:hAnsi="Times New Roman"/>
          <w:sz w:val="28"/>
          <w:szCs w:val="28"/>
        </w:rPr>
        <w:t>а</w:t>
      </w:r>
      <w:r w:rsidRPr="00117B88">
        <w:rPr>
          <w:rFonts w:ascii="Times New Roman" w:hAnsi="Times New Roman"/>
          <w:sz w:val="28"/>
          <w:szCs w:val="28"/>
        </w:rPr>
        <w:t>.</w:t>
      </w:r>
    </w:p>
    <w:p w:rsidR="005E792E" w:rsidRPr="00117B88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Раціоналізм</w:t>
      </w:r>
      <w:r>
        <w:rPr>
          <w:rFonts w:ascii="Times New Roman" w:hAnsi="Times New Roman"/>
          <w:sz w:val="28"/>
          <w:szCs w:val="28"/>
        </w:rPr>
        <w:t xml:space="preserve">, філософське вчення </w:t>
      </w:r>
      <w:r w:rsidRPr="00117B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 </w:t>
      </w:r>
      <w:r w:rsidRPr="00117B88">
        <w:rPr>
          <w:rFonts w:ascii="Times New Roman" w:hAnsi="Times New Roman"/>
          <w:sz w:val="28"/>
          <w:szCs w:val="28"/>
        </w:rPr>
        <w:t>Декарт</w:t>
      </w:r>
      <w:r>
        <w:rPr>
          <w:rFonts w:ascii="Times New Roman" w:hAnsi="Times New Roman"/>
          <w:sz w:val="28"/>
          <w:szCs w:val="28"/>
        </w:rPr>
        <w:t>а.</w:t>
      </w:r>
    </w:p>
    <w:p w:rsidR="005E792E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Німецька класична філософія</w:t>
      </w:r>
      <w:r w:rsidRPr="001D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1D5EB1">
        <w:rPr>
          <w:rFonts w:ascii="Times New Roman" w:hAnsi="Times New Roman"/>
          <w:sz w:val="28"/>
          <w:szCs w:val="28"/>
        </w:rPr>
        <w:t>імецький ідеалізм</w:t>
      </w:r>
      <w:r>
        <w:rPr>
          <w:rFonts w:ascii="Times New Roman" w:hAnsi="Times New Roman"/>
          <w:sz w:val="28"/>
          <w:szCs w:val="28"/>
        </w:rPr>
        <w:t>): проблема поняття, загальна характеристика.</w:t>
      </w:r>
    </w:p>
    <w:p w:rsidR="005E792E" w:rsidRPr="001D5EB1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Іммануїла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 Канта. </w:t>
      </w:r>
    </w:p>
    <w:p w:rsidR="005E792E" w:rsidRPr="001D5EB1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Георга Вільгельма Фрідріха Гегеля. </w:t>
      </w:r>
    </w:p>
    <w:p w:rsidR="005E792E" w:rsidRPr="001D5EB1" w:rsidRDefault="005E792E" w:rsidP="005E7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Філософія як антропологія: Людвіг Фейєрбах. </w:t>
      </w:r>
    </w:p>
    <w:p w:rsidR="005E792E" w:rsidRDefault="005E792E" w:rsidP="005E792E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5E792E" w:rsidRPr="00331B73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5E792E" w:rsidRPr="00331B73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5E792E" w:rsidRPr="00331B73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5E792E" w:rsidRPr="008F10C7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5E792E" w:rsidRPr="008F10C7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5E792E" w:rsidRPr="008F10C7" w:rsidRDefault="005E792E" w:rsidP="005E792E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5E792E" w:rsidRDefault="005E792E" w:rsidP="005E792E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E7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4CC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E"/>
    <w:rsid w:val="001E3EAD"/>
    <w:rsid w:val="002059F3"/>
    <w:rsid w:val="002D2FC0"/>
    <w:rsid w:val="005E792E"/>
    <w:rsid w:val="00701ABC"/>
    <w:rsid w:val="009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30E1"/>
  <w15:chartTrackingRefBased/>
  <w15:docId w15:val="{F176EE72-523D-49B2-B7A3-51607F1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2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2023-10-02T14:56:00Z</dcterms:created>
  <dcterms:modified xsi:type="dcterms:W3CDTF">2023-10-02T14:57:00Z</dcterms:modified>
</cp:coreProperties>
</file>