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Практичне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заняття 6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/7</w:t>
      </w:r>
    </w:p>
    <w:p>
      <w:pPr>
        <w:pStyle w:val="2"/>
        <w:numPr>
          <w:numId w:val="0"/>
        </w:numPr>
        <w:tabs>
          <w:tab w:val="left" w:pos="2010"/>
        </w:tabs>
        <w:spacing w:before="73" w:after="0" w:line="240" w:lineRule="auto"/>
        <w:ind w:left="1748" w:leftChars="0" w:right="2786" w:righ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b/>
          <w:iCs/>
          <w:sz w:val="28"/>
          <w:szCs w:val="28"/>
          <w:lang w:eastAsia="ru-RU"/>
        </w:rPr>
        <w:t xml:space="preserve">Тема 3.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Артикуляція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та транскрибуання голосних фонем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/ɑ:/-/ʌ/; /u:/-/ʊ/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Правила артикуляції та транскрибування звуків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/ɑ:/-/ʌ/; /u:/-/ʊ/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. Алофони. Розпізнавання цільових звуків у потоці зв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’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язного мовлення. Прослуховування та імітація автентичних діалогів за темою. Діалогічне мовлення. Опрацювання скоромовок.</w:t>
      </w:r>
    </w:p>
    <w:p/>
    <w:p>
      <w:pPr>
        <w:pStyle w:val="5"/>
        <w:rPr>
          <w:b/>
          <w:i/>
          <w:sz w:val="26"/>
        </w:rPr>
      </w:pPr>
      <w:bookmarkStart w:id="0" w:name="_GoBack"/>
      <w:bookmarkEnd w:id="0"/>
    </w:p>
    <w:p>
      <w:pPr>
        <w:pStyle w:val="5"/>
        <w:spacing w:before="222"/>
        <w:ind w:left="1189" w:right="2767"/>
        <w:jc w:val="center"/>
      </w:pPr>
      <w:r>
        <w:rPr>
          <w:spacing w:val="-5"/>
        </w:rPr>
        <w:t>34</w:t>
      </w:r>
    </w:p>
    <w:p>
      <w:pPr>
        <w:spacing w:after="0"/>
        <w:jc w:val="center"/>
        <w:sectPr>
          <w:pgSz w:w="11900" w:h="16840"/>
          <w:pgMar w:top="1060" w:right="100" w:bottom="280" w:left="1680" w:header="720" w:footer="720" w:gutter="0"/>
          <w:cols w:space="720" w:num="1"/>
        </w:sectPr>
      </w:pPr>
    </w:p>
    <w:tbl>
      <w:tblPr>
        <w:tblStyle w:val="4"/>
        <w:tblW w:w="0" w:type="auto"/>
        <w:tblInd w:w="1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0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170" w:type="dxa"/>
          </w:tcPr>
          <w:p>
            <w:pPr>
              <w:pStyle w:val="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Залежно від робочого активного органа мовлення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 такі приголосні:</w:t>
            </w:r>
          </w:p>
        </w:tc>
        <w:tc>
          <w:tcPr>
            <w:tcW w:w="3169" w:type="dxa"/>
          </w:tcPr>
          <w:p>
            <w:pPr>
              <w:pStyle w:val="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170" w:type="dxa"/>
          </w:tcPr>
          <w:p>
            <w:pPr>
              <w:pStyle w:val="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нерухомим органом мовлення є такі англійські </w:t>
            </w:r>
            <w:r>
              <w:rPr>
                <w:spacing w:val="-2"/>
                <w:sz w:val="24"/>
              </w:rPr>
              <w:t>приголосні:</w:t>
            </w:r>
          </w:p>
        </w:tc>
        <w:tc>
          <w:tcPr>
            <w:tcW w:w="3169" w:type="dxa"/>
          </w:tcPr>
          <w:p>
            <w:pPr>
              <w:pStyle w:val="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170" w:type="dxa"/>
          </w:tcPr>
          <w:p>
            <w:pPr>
              <w:pStyle w:val="6"/>
              <w:tabs>
                <w:tab w:val="left" w:pos="201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способом утворення </w:t>
            </w:r>
            <w:r>
              <w:rPr>
                <w:spacing w:val="-2"/>
                <w:sz w:val="24"/>
              </w:rPr>
              <w:t>перепони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англійські </w:t>
            </w:r>
            <w:r>
              <w:rPr>
                <w:sz w:val="24"/>
              </w:rPr>
              <w:t>приголосні поділяються на:</w:t>
            </w:r>
          </w:p>
        </w:tc>
        <w:tc>
          <w:tcPr>
            <w:tcW w:w="3169" w:type="dxa"/>
          </w:tcPr>
          <w:p>
            <w:pPr>
              <w:pStyle w:val="6"/>
              <w:rPr>
                <w:sz w:val="24"/>
              </w:rPr>
            </w:pPr>
          </w:p>
        </w:tc>
      </w:tr>
    </w:tbl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uk-U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A0137"/>
    <w:rsid w:val="124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208" w:right="2784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uk-UA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2023-09-15T05:39:00Z</dcterms:created>
  <dc:creator>Ирина</dc:creator>
  <cp:lastModifiedBy>Ирина</cp:lastModifiedBy>
  <dcterms:modified xsi:type="dcterms:W3CDTF">2023-09-15T06:26:12Z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30E0291DA56D4710A5DB238CB7E5054D</vt:lpwstr>
  </property>
</Properties>
</file>