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9335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Дані одинадцять ключових компетенцій </w:t>
      </w:r>
      <w:proofErr w:type="spellStart"/>
      <w:r w:rsidRPr="00184D32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184D32">
        <w:rPr>
          <w:rFonts w:ascii="Times New Roman" w:hAnsi="Times New Roman" w:cs="Times New Roman"/>
          <w:sz w:val="28"/>
          <w:szCs w:val="28"/>
        </w:rPr>
        <w:t xml:space="preserve"> були розроблені для того, щоб сприяти кращому розумінню навичок і підходів у сучасному </w:t>
      </w:r>
      <w:proofErr w:type="spellStart"/>
      <w:r w:rsidRPr="00184D32">
        <w:rPr>
          <w:rFonts w:ascii="Times New Roman" w:hAnsi="Times New Roman" w:cs="Times New Roman"/>
          <w:sz w:val="28"/>
          <w:szCs w:val="28"/>
        </w:rPr>
        <w:t>коучингу</w:t>
      </w:r>
      <w:proofErr w:type="spellEnd"/>
      <w:r w:rsidRPr="00184D32">
        <w:rPr>
          <w:rFonts w:ascii="Times New Roman" w:hAnsi="Times New Roman" w:cs="Times New Roman"/>
          <w:sz w:val="28"/>
          <w:szCs w:val="28"/>
        </w:rPr>
        <w:t xml:space="preserve">, як він визначається ICF. Вони також допоможуть вам привести у відповідність вже здобуту вами освіту </w:t>
      </w:r>
      <w:proofErr w:type="spellStart"/>
      <w:r w:rsidRPr="00184D32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184D32">
        <w:rPr>
          <w:rFonts w:ascii="Times New Roman" w:hAnsi="Times New Roman" w:cs="Times New Roman"/>
          <w:sz w:val="28"/>
          <w:szCs w:val="28"/>
        </w:rPr>
        <w:t xml:space="preserve"> до стандартів професії, що очікуються. Зрештою, ці одинадцять ключових компетенцій були розроблені як основа для іспиту, що проводить ICF в процесі сертифікації </w:t>
      </w:r>
      <w:proofErr w:type="spellStart"/>
      <w:r w:rsidRPr="00184D32">
        <w:rPr>
          <w:rFonts w:ascii="Times New Roman" w:hAnsi="Times New Roman" w:cs="Times New Roman"/>
          <w:sz w:val="28"/>
          <w:szCs w:val="28"/>
        </w:rPr>
        <w:t>коучів</w:t>
      </w:r>
      <w:proofErr w:type="spellEnd"/>
      <w:r w:rsidRPr="00184D32">
        <w:rPr>
          <w:rFonts w:ascii="Times New Roman" w:hAnsi="Times New Roman" w:cs="Times New Roman"/>
          <w:sz w:val="28"/>
          <w:szCs w:val="28"/>
        </w:rPr>
        <w:t xml:space="preserve">. ICF дає визначення </w:t>
      </w:r>
      <w:proofErr w:type="spellStart"/>
      <w:r w:rsidRPr="00184D32">
        <w:rPr>
          <w:rFonts w:ascii="Times New Roman" w:hAnsi="Times New Roman" w:cs="Times New Roman"/>
          <w:sz w:val="28"/>
          <w:szCs w:val="28"/>
        </w:rPr>
        <w:t>коучингу</w:t>
      </w:r>
      <w:proofErr w:type="spellEnd"/>
      <w:r w:rsidRPr="00184D32">
        <w:rPr>
          <w:rFonts w:ascii="Times New Roman" w:hAnsi="Times New Roman" w:cs="Times New Roman"/>
          <w:sz w:val="28"/>
          <w:szCs w:val="28"/>
        </w:rPr>
        <w:t xml:space="preserve"> як партнерству з клієнтом у процесі розумового та креативного мислення, що надихає клієнта максимізувати свій особистий та професійний потенціал. </w:t>
      </w:r>
    </w:p>
    <w:p w14:paraId="26AEED6D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Ключові компетенції були згруповані в чотири блоки за принципом схожості на основі загально прийнятого погляду на компетенції в блоці. Кожна з компетенцій в рівній мірі важлива, тому угруповання і порядок проходження компетенцій у тексті не має принципового значення. Всі ці компетенції є ключовими і повинні обов’язково проявлятися в роботі будь-якого професійного </w:t>
      </w:r>
      <w:proofErr w:type="spellStart"/>
      <w:r w:rsidRPr="00184D32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18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59AC86" w14:textId="77777777" w:rsidR="00184D32" w:rsidRPr="00184D32" w:rsidRDefault="00184D32" w:rsidP="00184D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D32">
        <w:rPr>
          <w:rFonts w:ascii="Times New Roman" w:hAnsi="Times New Roman" w:cs="Times New Roman"/>
          <w:b/>
          <w:bCs/>
          <w:sz w:val="28"/>
          <w:szCs w:val="28"/>
        </w:rPr>
        <w:t xml:space="preserve">A. Створення фундаменту </w:t>
      </w:r>
    </w:p>
    <w:p w14:paraId="671B03AF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1. Відповідність Етичним нормам і Професійним стандартам. </w:t>
      </w:r>
    </w:p>
    <w:p w14:paraId="6AC31131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2. Укладання </w:t>
      </w:r>
      <w:proofErr w:type="spellStart"/>
      <w:r w:rsidRPr="00184D32">
        <w:rPr>
          <w:rFonts w:ascii="Times New Roman" w:hAnsi="Times New Roman" w:cs="Times New Roman"/>
          <w:sz w:val="28"/>
          <w:szCs w:val="28"/>
        </w:rPr>
        <w:t>Коучингової</w:t>
      </w:r>
      <w:proofErr w:type="spellEnd"/>
      <w:r w:rsidRPr="00184D32">
        <w:rPr>
          <w:rFonts w:ascii="Times New Roman" w:hAnsi="Times New Roman" w:cs="Times New Roman"/>
          <w:sz w:val="28"/>
          <w:szCs w:val="28"/>
        </w:rPr>
        <w:t xml:space="preserve"> Угоди. </w:t>
      </w:r>
    </w:p>
    <w:p w14:paraId="77FD79A9" w14:textId="77777777" w:rsidR="00184D32" w:rsidRPr="00184D32" w:rsidRDefault="00184D32" w:rsidP="00184D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D32">
        <w:rPr>
          <w:rFonts w:ascii="Times New Roman" w:hAnsi="Times New Roman" w:cs="Times New Roman"/>
          <w:b/>
          <w:bCs/>
          <w:sz w:val="28"/>
          <w:szCs w:val="28"/>
        </w:rPr>
        <w:t xml:space="preserve">B. Спільне створення відносин </w:t>
      </w:r>
    </w:p>
    <w:p w14:paraId="6EE721A3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3. Встановлення довіри та близькості з клієнтом. </w:t>
      </w:r>
    </w:p>
    <w:p w14:paraId="5BCA9BD7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84D32">
        <w:rPr>
          <w:rFonts w:ascii="Times New Roman" w:hAnsi="Times New Roman" w:cs="Times New Roman"/>
          <w:sz w:val="28"/>
          <w:szCs w:val="28"/>
        </w:rPr>
        <w:t>Коучингова</w:t>
      </w:r>
      <w:proofErr w:type="spellEnd"/>
      <w:r w:rsidRPr="00184D32">
        <w:rPr>
          <w:rFonts w:ascii="Times New Roman" w:hAnsi="Times New Roman" w:cs="Times New Roman"/>
          <w:sz w:val="28"/>
          <w:szCs w:val="28"/>
        </w:rPr>
        <w:t xml:space="preserve"> присутність. </w:t>
      </w:r>
    </w:p>
    <w:p w14:paraId="799E32CB" w14:textId="77777777" w:rsidR="00184D32" w:rsidRPr="00184D32" w:rsidRDefault="00184D32" w:rsidP="00184D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D32">
        <w:rPr>
          <w:rFonts w:ascii="Times New Roman" w:hAnsi="Times New Roman" w:cs="Times New Roman"/>
          <w:b/>
          <w:bCs/>
          <w:sz w:val="28"/>
          <w:szCs w:val="28"/>
        </w:rPr>
        <w:t xml:space="preserve">C. Ефективна комунікація </w:t>
      </w:r>
    </w:p>
    <w:p w14:paraId="027F7706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5. Активне слухання. </w:t>
      </w:r>
    </w:p>
    <w:p w14:paraId="4F798EA9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6. Постановка «сильних» питань. </w:t>
      </w:r>
    </w:p>
    <w:p w14:paraId="388CAA9C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7. Пряма комунікація. </w:t>
      </w:r>
    </w:p>
    <w:p w14:paraId="6A8BE548" w14:textId="77777777" w:rsidR="00184D32" w:rsidRPr="00184D32" w:rsidRDefault="00184D32" w:rsidP="00184D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D32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proofErr w:type="spellStart"/>
      <w:r w:rsidRPr="00184D32">
        <w:rPr>
          <w:rFonts w:ascii="Times New Roman" w:hAnsi="Times New Roman" w:cs="Times New Roman"/>
          <w:b/>
          <w:bCs/>
          <w:sz w:val="28"/>
          <w:szCs w:val="28"/>
        </w:rPr>
        <w:t>Фасилітація</w:t>
      </w:r>
      <w:proofErr w:type="spellEnd"/>
      <w:r w:rsidRPr="00184D32">
        <w:rPr>
          <w:rFonts w:ascii="Times New Roman" w:hAnsi="Times New Roman" w:cs="Times New Roman"/>
          <w:b/>
          <w:bCs/>
          <w:sz w:val="28"/>
          <w:szCs w:val="28"/>
        </w:rPr>
        <w:t xml:space="preserve"> навчання та результатів </w:t>
      </w:r>
    </w:p>
    <w:p w14:paraId="432A668C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8. Стимулювання усвідомлення. </w:t>
      </w:r>
    </w:p>
    <w:p w14:paraId="1D5417CA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9. Проектування дій. </w:t>
      </w:r>
    </w:p>
    <w:p w14:paraId="245DB9C3" w14:textId="77777777" w:rsidR="00184D32" w:rsidRP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 xml:space="preserve">10. Планування та постановка цілей. </w:t>
      </w:r>
    </w:p>
    <w:p w14:paraId="7D23B9DF" w14:textId="3E2173A1" w:rsidR="00703908" w:rsidRDefault="00184D32" w:rsidP="00184D32">
      <w:pPr>
        <w:jc w:val="both"/>
        <w:rPr>
          <w:rFonts w:ascii="Times New Roman" w:hAnsi="Times New Roman" w:cs="Times New Roman"/>
          <w:sz w:val="28"/>
          <w:szCs w:val="28"/>
        </w:rPr>
      </w:pPr>
      <w:r w:rsidRPr="00184D32">
        <w:rPr>
          <w:rFonts w:ascii="Times New Roman" w:hAnsi="Times New Roman" w:cs="Times New Roman"/>
          <w:sz w:val="28"/>
          <w:szCs w:val="28"/>
        </w:rPr>
        <w:t>11. Управління прогресом і відповідальністю</w:t>
      </w:r>
    </w:p>
    <w:p w14:paraId="569110CA" w14:textId="77777777" w:rsidR="00E7228B" w:rsidRDefault="00E7228B" w:rsidP="00184D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0ED85B" w14:textId="485F93DF" w:rsidR="00E7228B" w:rsidRPr="00184D32" w:rsidRDefault="00E7228B" w:rsidP="00E72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 (с. 146-154): </w:t>
      </w:r>
      <w:hyperlink r:id="rId4" w:history="1">
        <w:r w:rsidRPr="00543F47">
          <w:rPr>
            <w:rStyle w:val="a3"/>
            <w:rFonts w:ascii="Times New Roman" w:hAnsi="Times New Roman" w:cs="Times New Roman"/>
            <w:sz w:val="28"/>
            <w:szCs w:val="28"/>
          </w:rPr>
          <w:t>https://lib.iitta.gov.ua/710073/1/%D0%9E%D1%81%D0%BD%D0%BE%D0%B2%D0%B8%20%D0%BA%D0%BE%D1%83%D1%87%D0%B8%D0%BD%D0%</w:t>
        </w:r>
        <w:r w:rsidRPr="00543F47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B3%D1%83_%D1%80%D0%BE%D0%B7%D0%BC%D1%96%D1%89%D0%B5%D0%BD%D0%BD%D1%8F%20%D0%B2%20%D0%B5%D0%BB.%D0%B1%D1%96%D0%B1%D0%BB%D1%96%D1%82%D0%BE%D0%B5%D0%BA%D1%83.pdf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228B" w:rsidRPr="0018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64"/>
    <w:rsid w:val="000C2A38"/>
    <w:rsid w:val="000D7619"/>
    <w:rsid w:val="00184D32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9D0464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E7228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5015"/>
  <w15:chartTrackingRefBased/>
  <w15:docId w15:val="{A40F30AF-069E-4F3A-83DB-6B1178BD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2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iitta.gov.ua/710073/1/%D0%9E%D1%81%D0%BD%D0%BE%D0%B2%D0%B8%20%D0%BA%D0%BE%D1%83%D1%87%D0%B8%D0%BD%D0%B3%D1%83_%D1%80%D0%BE%D0%B7%D0%BC%D1%96%D1%89%D0%B5%D0%BD%D0%BD%D1%8F%20%D0%B2%20%D0%B5%D0%BB.%D0%B1%D1%96%D0%B1%D0%BB%D1%96%D1%82%D0%BE%D0%B5%D0%BA%D1%83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2023-09-12T17:09:00Z</dcterms:created>
  <dcterms:modified xsi:type="dcterms:W3CDTF">2023-09-12T17:11:00Z</dcterms:modified>
</cp:coreProperties>
</file>