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F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освіти і науки України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Державний університет «Житомирська політехніка»</w:t>
      </w: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Факультет (повністю, не скорочувати)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Кафедра (повністю, не скорочувати)</w:t>
      </w:r>
    </w:p>
    <w:p w:rsidR="004B545D" w:rsidRPr="004B545D" w:rsidRDefault="004B545D" w:rsidP="004B545D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B545D">
        <w:rPr>
          <w:rFonts w:ascii="Times New Roman" w:hAnsi="Times New Roman" w:cs="Times New Roman"/>
          <w:sz w:val="28"/>
          <w:highlight w:val="yellow"/>
        </w:rPr>
        <w:t>Група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ФІЗИКА</w:t>
      </w:r>
    </w:p>
    <w:p w:rsidR="004B545D" w:rsidRPr="004B545D" w:rsidRDefault="0049133E" w:rsidP="004B545D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Звіт з лабораторної роботи №4</w:t>
      </w:r>
    </w:p>
    <w:p w:rsidR="0049133E" w:rsidRDefault="0049133E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Визначення прискорення вільного падіння </w:t>
      </w:r>
    </w:p>
    <w:p w:rsidR="004B545D" w:rsidRPr="004B545D" w:rsidRDefault="0049133E" w:rsidP="00EB50A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 допомогою математичного маятника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235DAC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Виконав: </w:t>
      </w:r>
      <w:r>
        <w:rPr>
          <w:rFonts w:ascii="Times New Roman" w:hAnsi="Times New Roman" w:cs="Times New Roman"/>
          <w:sz w:val="28"/>
        </w:rPr>
        <w:tab/>
      </w:r>
      <w:r w:rsidR="004B545D" w:rsidRPr="004B545D">
        <w:rPr>
          <w:rFonts w:ascii="Times New Roman" w:hAnsi="Times New Roman" w:cs="Times New Roman"/>
          <w:sz w:val="28"/>
          <w:highlight w:val="yellow"/>
        </w:rPr>
        <w:t>Ваше прізвище та ім’я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Прийняв: </w:t>
      </w:r>
      <w:r>
        <w:rPr>
          <w:rFonts w:ascii="Times New Roman" w:hAnsi="Times New Roman" w:cs="Times New Roman"/>
          <w:sz w:val="28"/>
        </w:rPr>
        <w:tab/>
        <w:t>Коломієць Р. О.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Житомир</w:t>
      </w:r>
    </w:p>
    <w:p w:rsid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9133E" w:rsidRDefault="0049133E" w:rsidP="0049133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 xml:space="preserve">Визначення прискорення вільного падіння </w:t>
      </w:r>
    </w:p>
    <w:p w:rsidR="0049133E" w:rsidRPr="004B545D" w:rsidRDefault="0049133E" w:rsidP="0049133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за допомогою математичного маятника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9133E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Мета роботи</w:t>
      </w:r>
      <w:r w:rsidRPr="004B545D">
        <w:rPr>
          <w:rFonts w:ascii="Times New Roman" w:hAnsi="Times New Roman" w:cs="Times New Roman"/>
          <w:b/>
          <w:sz w:val="28"/>
        </w:rPr>
        <w:t>:</w:t>
      </w:r>
      <w:r w:rsidR="001F5D8E">
        <w:rPr>
          <w:rFonts w:ascii="Times New Roman" w:hAnsi="Times New Roman" w:cs="Times New Roman"/>
          <w:b/>
          <w:sz w:val="28"/>
        </w:rPr>
        <w:t xml:space="preserve"> </w:t>
      </w:r>
      <w:r w:rsidR="0049133E">
        <w:rPr>
          <w:rFonts w:ascii="Times New Roman" w:hAnsi="Times New Roman" w:cs="Times New Roman"/>
          <w:sz w:val="28"/>
        </w:rPr>
        <w:t xml:space="preserve"> вимі</w:t>
      </w:r>
      <w:r w:rsidR="0049133E" w:rsidRPr="0049133E">
        <w:rPr>
          <w:rFonts w:ascii="Times New Roman" w:hAnsi="Times New Roman" w:cs="Times New Roman"/>
          <w:sz w:val="28"/>
        </w:rPr>
        <w:t>ряти прискорення в</w:t>
      </w:r>
      <w:r w:rsidR="0049133E">
        <w:rPr>
          <w:rFonts w:ascii="Times New Roman" w:hAnsi="Times New Roman" w:cs="Times New Roman"/>
          <w:sz w:val="28"/>
        </w:rPr>
        <w:t>і</w:t>
      </w:r>
      <w:r w:rsidR="0049133E" w:rsidRPr="0049133E">
        <w:rPr>
          <w:rFonts w:ascii="Times New Roman" w:hAnsi="Times New Roman" w:cs="Times New Roman"/>
          <w:sz w:val="28"/>
        </w:rPr>
        <w:t>льного пад</w:t>
      </w:r>
      <w:r w:rsidR="0049133E">
        <w:rPr>
          <w:rFonts w:ascii="Times New Roman" w:hAnsi="Times New Roman" w:cs="Times New Roman"/>
          <w:sz w:val="28"/>
        </w:rPr>
        <w:t>і</w:t>
      </w:r>
      <w:r w:rsidR="0049133E" w:rsidRPr="0049133E">
        <w:rPr>
          <w:rFonts w:ascii="Times New Roman" w:hAnsi="Times New Roman" w:cs="Times New Roman"/>
          <w:sz w:val="28"/>
        </w:rPr>
        <w:t>ння за</w:t>
      </w:r>
      <w:r w:rsidR="0049133E">
        <w:rPr>
          <w:rFonts w:ascii="Times New Roman" w:hAnsi="Times New Roman" w:cs="Times New Roman"/>
          <w:sz w:val="28"/>
        </w:rPr>
        <w:t xml:space="preserve"> </w:t>
      </w:r>
      <w:r w:rsidR="0049133E" w:rsidRPr="0049133E">
        <w:rPr>
          <w:rFonts w:ascii="Times New Roman" w:hAnsi="Times New Roman" w:cs="Times New Roman"/>
          <w:sz w:val="28"/>
        </w:rPr>
        <w:t>допомогою</w:t>
      </w:r>
      <w:r w:rsidR="0049133E">
        <w:rPr>
          <w:rFonts w:ascii="Times New Roman" w:hAnsi="Times New Roman" w:cs="Times New Roman"/>
          <w:sz w:val="28"/>
        </w:rPr>
        <w:t xml:space="preserve"> </w:t>
      </w:r>
      <w:r w:rsidR="0049133E" w:rsidRPr="0049133E">
        <w:rPr>
          <w:rFonts w:ascii="Times New Roman" w:hAnsi="Times New Roman" w:cs="Times New Roman"/>
          <w:sz w:val="28"/>
        </w:rPr>
        <w:t>математичного маятника</w:t>
      </w:r>
      <w:r w:rsidR="001F5D8E">
        <w:rPr>
          <w:rFonts w:ascii="Times New Roman" w:hAnsi="Times New Roman" w:cs="Times New Roman"/>
          <w:sz w:val="28"/>
        </w:rPr>
        <w:t>.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Обладнання</w:t>
      </w:r>
      <w:r w:rsidRPr="004B545D">
        <w:rPr>
          <w:rFonts w:ascii="Times New Roman" w:hAnsi="Times New Roman" w:cs="Times New Roman"/>
          <w:b/>
          <w:sz w:val="28"/>
        </w:rPr>
        <w:t>:</w:t>
      </w:r>
    </w:p>
    <w:p w:rsidR="0049133E" w:rsidRPr="0049133E" w:rsidRDefault="0049133E" w:rsidP="004913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9133E">
        <w:rPr>
          <w:rFonts w:ascii="Times New Roman" w:hAnsi="Times New Roman" w:cs="Times New Roman"/>
          <w:sz w:val="28"/>
        </w:rPr>
        <w:t>− лабораторна</w:t>
      </w:r>
      <w:r w:rsidR="00EB660E">
        <w:rPr>
          <w:rFonts w:ascii="Times New Roman" w:hAnsi="Times New Roman" w:cs="Times New Roman"/>
          <w:sz w:val="28"/>
        </w:rPr>
        <w:t xml:space="preserve"> </w:t>
      </w:r>
      <w:r w:rsidRPr="0049133E">
        <w:rPr>
          <w:rFonts w:ascii="Times New Roman" w:hAnsi="Times New Roman" w:cs="Times New Roman"/>
          <w:sz w:val="28"/>
        </w:rPr>
        <w:t>установка</w:t>
      </w:r>
      <w:r w:rsidR="00EB660E">
        <w:rPr>
          <w:rFonts w:ascii="Times New Roman" w:hAnsi="Times New Roman" w:cs="Times New Roman"/>
          <w:sz w:val="28"/>
        </w:rPr>
        <w:t xml:space="preserve"> </w:t>
      </w:r>
      <w:r w:rsidRPr="0049133E">
        <w:rPr>
          <w:rFonts w:ascii="Times New Roman" w:hAnsi="Times New Roman" w:cs="Times New Roman"/>
          <w:sz w:val="28"/>
        </w:rPr>
        <w:t>–</w:t>
      </w:r>
      <w:r w:rsidR="00EB660E">
        <w:rPr>
          <w:rFonts w:ascii="Times New Roman" w:hAnsi="Times New Roman" w:cs="Times New Roman"/>
          <w:sz w:val="28"/>
        </w:rPr>
        <w:t xml:space="preserve"> </w:t>
      </w:r>
      <w:r w:rsidRPr="0049133E">
        <w:rPr>
          <w:rFonts w:ascii="Times New Roman" w:hAnsi="Times New Roman" w:cs="Times New Roman"/>
          <w:sz w:val="28"/>
        </w:rPr>
        <w:t>маятник (невеликий вантаж</w:t>
      </w:r>
      <w:r w:rsidR="00EB660E">
        <w:rPr>
          <w:rFonts w:ascii="Times New Roman" w:hAnsi="Times New Roman" w:cs="Times New Roman"/>
          <w:sz w:val="28"/>
        </w:rPr>
        <w:t xml:space="preserve"> </w:t>
      </w:r>
      <w:r w:rsidRPr="0049133E">
        <w:rPr>
          <w:rFonts w:ascii="Times New Roman" w:hAnsi="Times New Roman" w:cs="Times New Roman"/>
          <w:sz w:val="28"/>
        </w:rPr>
        <w:t>на</w:t>
      </w:r>
      <w:r w:rsidR="00EB660E">
        <w:rPr>
          <w:rFonts w:ascii="Times New Roman" w:hAnsi="Times New Roman" w:cs="Times New Roman"/>
          <w:sz w:val="28"/>
        </w:rPr>
        <w:t xml:space="preserve"> довгій (понад 1 м) нерозтяжній нитці</w:t>
      </w:r>
      <w:r w:rsidRPr="0049133E">
        <w:rPr>
          <w:rFonts w:ascii="Times New Roman" w:hAnsi="Times New Roman" w:cs="Times New Roman"/>
          <w:sz w:val="28"/>
        </w:rPr>
        <w:t>) ;</w:t>
      </w:r>
    </w:p>
    <w:p w:rsidR="0049133E" w:rsidRPr="0049133E" w:rsidRDefault="0049133E" w:rsidP="0049133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9133E">
        <w:rPr>
          <w:rFonts w:ascii="Times New Roman" w:hAnsi="Times New Roman" w:cs="Times New Roman"/>
          <w:sz w:val="28"/>
        </w:rPr>
        <w:t>−</w:t>
      </w:r>
      <w:r w:rsidR="00EB660E">
        <w:rPr>
          <w:rFonts w:ascii="Times New Roman" w:hAnsi="Times New Roman" w:cs="Times New Roman"/>
          <w:sz w:val="28"/>
        </w:rPr>
        <w:t xml:space="preserve"> рулетка, секундомі</w:t>
      </w:r>
      <w:r w:rsidRPr="0049133E">
        <w:rPr>
          <w:rFonts w:ascii="Times New Roman" w:hAnsi="Times New Roman" w:cs="Times New Roman"/>
          <w:sz w:val="28"/>
        </w:rPr>
        <w:t>р</w:t>
      </w:r>
    </w:p>
    <w:p w:rsidR="004B545D" w:rsidRDefault="004B545D" w:rsidP="0049133E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B545D" w:rsidRPr="004B545D" w:rsidRDefault="004B545D" w:rsidP="004B54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B545D">
        <w:rPr>
          <w:rFonts w:ascii="Times New Roman" w:hAnsi="Times New Roman" w:cs="Times New Roman"/>
          <w:b/>
          <w:sz w:val="28"/>
        </w:rPr>
        <w:t>Хід роботи</w:t>
      </w:r>
    </w:p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Результати вимірювання </w:t>
      </w:r>
      <w:r w:rsidR="004C28CD">
        <w:rPr>
          <w:rFonts w:ascii="Times New Roman" w:hAnsi="Times New Roman" w:cs="Times New Roman"/>
          <w:sz w:val="28"/>
        </w:rPr>
        <w:t>періоду коливань при меншій довжині підвісу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1323"/>
        <w:gridCol w:w="1324"/>
        <w:gridCol w:w="1323"/>
        <w:gridCol w:w="1324"/>
        <w:gridCol w:w="1323"/>
        <w:gridCol w:w="1324"/>
        <w:gridCol w:w="1324"/>
      </w:tblGrid>
      <w:tr w:rsidR="004C28CD" w:rsidTr="00265670">
        <w:tc>
          <w:tcPr>
            <w:tcW w:w="646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4C28CD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  <w:r w:rsidRPr="004C28CD">
              <w:rPr>
                <w:rFonts w:ascii="Times New Roman" w:eastAsiaTheme="minorEastAsia" w:hAnsi="Times New Roman" w:cs="Times New Roman"/>
                <w:i/>
                <w:sz w:val="28"/>
                <w:vertAlign w:val="superscript"/>
              </w:rPr>
              <w:t>2</w:t>
            </w:r>
          </w:p>
        </w:tc>
      </w:tr>
      <w:tr w:rsidR="004C28CD" w:rsidTr="004C28CD">
        <w:tc>
          <w:tcPr>
            <w:tcW w:w="646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60</w:t>
            </w: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 w:val="restart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28CD" w:rsidTr="004C28CD">
        <w:tc>
          <w:tcPr>
            <w:tcW w:w="646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60</w:t>
            </w: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28CD" w:rsidTr="004C28CD">
        <w:tc>
          <w:tcPr>
            <w:tcW w:w="646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90</w:t>
            </w: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28CD" w:rsidTr="004C28CD">
        <w:tc>
          <w:tcPr>
            <w:tcW w:w="646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120</w:t>
            </w: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28CD" w:rsidTr="004C28CD">
        <w:tc>
          <w:tcPr>
            <w:tcW w:w="646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120</w:t>
            </w: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C28CD" w:rsidTr="00265670">
        <w:tc>
          <w:tcPr>
            <w:tcW w:w="646" w:type="dxa"/>
            <w:shd w:val="clear" w:color="auto" w:fill="D9D9D9" w:themeFill="background1" w:themeFillShade="D9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1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4C28CD" w:rsidRPr="004C28CD" w:rsidRDefault="004C28CD" w:rsidP="004C28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07FD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</w:rPr>
        <w:t>.</w:t>
      </w:r>
      <w:r w:rsidR="004C28CD">
        <w:rPr>
          <w:rFonts w:ascii="Times New Roman" w:hAnsi="Times New Roman" w:cs="Times New Roman"/>
          <w:sz w:val="28"/>
        </w:rPr>
        <w:t xml:space="preserve"> Результати оцінки величини прискорення вільного падіння</w:t>
      </w:r>
      <w:r w:rsidR="005C270A">
        <w:rPr>
          <w:rFonts w:ascii="Times New Roman" w:hAnsi="Times New Roman" w:cs="Times New Roman"/>
          <w:sz w:val="28"/>
        </w:rPr>
        <w:t>:</w:t>
      </w:r>
    </w:p>
    <w:p w:rsidR="005C270A" w:rsidRDefault="00807FDA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>// за формулою (</w:t>
      </w:r>
      <w:r w:rsidR="004C28CD">
        <w:rPr>
          <w:rFonts w:ascii="Times New Roman" w:hAnsi="Times New Roman" w:cs="Times New Roman"/>
          <w:sz w:val="28"/>
          <w:highlight w:val="yellow"/>
        </w:rPr>
        <w:t>4</w:t>
      </w:r>
      <w:r w:rsidRPr="005C270A">
        <w:rPr>
          <w:rFonts w:ascii="Times New Roman" w:hAnsi="Times New Roman" w:cs="Times New Roman"/>
          <w:sz w:val="28"/>
          <w:highlight w:val="yellow"/>
        </w:rPr>
        <w:t>.</w:t>
      </w:r>
      <w:r w:rsidR="004C28CD">
        <w:rPr>
          <w:rFonts w:ascii="Times New Roman" w:hAnsi="Times New Roman" w:cs="Times New Roman"/>
          <w:sz w:val="28"/>
          <w:highlight w:val="yellow"/>
        </w:rPr>
        <w:t>1</w:t>
      </w:r>
      <w:r w:rsidRPr="005C270A">
        <w:rPr>
          <w:rFonts w:ascii="Times New Roman" w:hAnsi="Times New Roman" w:cs="Times New Roman"/>
          <w:sz w:val="28"/>
          <w:highlight w:val="yellow"/>
        </w:rPr>
        <w:t>) з методичних вказівок</w:t>
      </w:r>
      <w:r w:rsidR="005C270A" w:rsidRPr="005C270A"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4C28CD" w:rsidRDefault="004C28C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4C28CD" w:rsidRDefault="004C28CD" w:rsidP="004B545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Результати оцінки похибок прямого вимірювання довжини підвісу та періоду коливань</w:t>
      </w:r>
    </w:p>
    <w:p w:rsidR="004C28CD" w:rsidRPr="00265670" w:rsidRDefault="004C28CD" w:rsidP="00265670">
      <w:pPr>
        <w:spacing w:after="0" w:line="360" w:lineRule="auto"/>
        <w:jc w:val="center"/>
        <w:rPr>
          <w:rFonts w:ascii="Times New Roman" w:hAnsi="Times New Roman" w:cs="Times New Roman"/>
          <w:sz w:val="28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1</m:t>
              </m:r>
            </m:sub>
          </m:sSub>
        </m:oMath>
      </m:oMathPara>
    </w:p>
    <w:p w:rsidR="004C28CD" w:rsidRPr="00265670" w:rsidRDefault="004C28CD" w:rsidP="0026567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1</m:t>
              </m:r>
            </m:sub>
          </m:sSub>
        </m:oMath>
      </m:oMathPara>
    </w:p>
    <w:p w:rsidR="004C28CD" w:rsidRDefault="004C28C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670" w:rsidRDefault="004C28CD" w:rsidP="00265670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4. Результати оцінки похибки непрямого вимірювання величини прискорення вільного падіння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65670" w:rsidRPr="00265670" w:rsidRDefault="00265670" w:rsidP="00265670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w:lastRenderedPageBreak/>
            <m:t>g=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g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±δg%</m:t>
          </m:r>
        </m:oMath>
      </m:oMathPara>
    </w:p>
    <w:p w:rsidR="00265670" w:rsidRPr="00265670" w:rsidRDefault="00265670" w:rsidP="00265670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g=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g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</m:t>
          </m:r>
          <m:r>
            <w:rPr>
              <w:rFonts w:ascii="Cambria Math" w:hAnsi="Cambria Math" w:cs="Times New Roman"/>
              <w:sz w:val="28"/>
              <w:highlight w:val="yellow"/>
            </w:rPr>
            <m:t>∆</m:t>
          </m:r>
          <m:r>
            <w:rPr>
              <w:rFonts w:ascii="Cambria Math" w:hAnsi="Cambria Math" w:cs="Times New Roman"/>
              <w:sz w:val="28"/>
              <w:highlight w:val="yellow"/>
            </w:rPr>
            <m:t>g</m:t>
          </m:r>
        </m:oMath>
      </m:oMathPara>
    </w:p>
    <w:p w:rsidR="00265670" w:rsidRP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65670">
        <w:rPr>
          <w:rFonts w:ascii="Times New Roman" w:hAnsi="Times New Roman" w:cs="Times New Roman"/>
          <w:i/>
          <w:sz w:val="28"/>
          <w:highlight w:val="yellow"/>
        </w:rPr>
        <w:t xml:space="preserve">// </w:t>
      </w:r>
      <w:r w:rsidRPr="00265670">
        <w:rPr>
          <w:rFonts w:ascii="Times New Roman" w:hAnsi="Times New Roman" w:cs="Times New Roman"/>
          <w:sz w:val="28"/>
          <w:highlight w:val="yellow"/>
        </w:rPr>
        <w:t xml:space="preserve">про одиниці вимірювання </w:t>
      </w:r>
      <w:r>
        <w:rPr>
          <w:rFonts w:ascii="Times New Roman" w:hAnsi="Times New Roman" w:cs="Times New Roman"/>
          <w:sz w:val="28"/>
          <w:highlight w:val="yellow"/>
        </w:rPr>
        <w:t xml:space="preserve">також </w:t>
      </w:r>
      <w:r w:rsidRPr="00265670">
        <w:rPr>
          <w:rFonts w:ascii="Times New Roman" w:hAnsi="Times New Roman" w:cs="Times New Roman"/>
          <w:sz w:val="28"/>
          <w:highlight w:val="yellow"/>
        </w:rPr>
        <w:t>не забуваємо…</w:t>
      </w:r>
    </w:p>
    <w:p w:rsidR="004C28CD" w:rsidRPr="004C28CD" w:rsidRDefault="004C28CD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 Результати вимірювання періоду коливань при </w:t>
      </w:r>
      <w:r>
        <w:rPr>
          <w:rFonts w:ascii="Times New Roman" w:hAnsi="Times New Roman" w:cs="Times New Roman"/>
          <w:sz w:val="28"/>
        </w:rPr>
        <w:t>більшій</w:t>
      </w:r>
      <w:r>
        <w:rPr>
          <w:rFonts w:ascii="Times New Roman" w:hAnsi="Times New Roman" w:cs="Times New Roman"/>
          <w:sz w:val="28"/>
        </w:rPr>
        <w:t xml:space="preserve"> довжині підвісу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1323"/>
        <w:gridCol w:w="1324"/>
        <w:gridCol w:w="1323"/>
        <w:gridCol w:w="1324"/>
        <w:gridCol w:w="1323"/>
        <w:gridCol w:w="1324"/>
        <w:gridCol w:w="1324"/>
      </w:tblGrid>
      <w:tr w:rsidR="00265670" w:rsidTr="00265670">
        <w:tc>
          <w:tcPr>
            <w:tcW w:w="646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65670" w:rsidRPr="004C28CD" w:rsidRDefault="00265670" w:rsidP="0026567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Default="00265670" w:rsidP="0026567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t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w:r w:rsidRPr="004C28CD">
              <w:rPr>
                <w:rFonts w:ascii="Times New Roman" w:hAnsi="Times New Roman" w:cs="Times New Roman"/>
                <w:i/>
                <w:sz w:val="28"/>
                <w:lang w:val="en-US"/>
              </w:rPr>
              <w:t>N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∆T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  <w:lang w:val="en-US"/>
              </w:rPr>
              <w:t>c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lang w:val="en-US"/>
                </w:rPr>
                <m:t>g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lang w:val="en-US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i/>
                <w:sz w:val="28"/>
              </w:rPr>
              <w:t>м/с</w:t>
            </w:r>
            <w:r w:rsidRPr="004C28CD">
              <w:rPr>
                <w:rFonts w:ascii="Times New Roman" w:eastAsiaTheme="minorEastAsia" w:hAnsi="Times New Roman" w:cs="Times New Roman"/>
                <w:i/>
                <w:sz w:val="28"/>
                <w:vertAlign w:val="superscript"/>
              </w:rPr>
              <w:t>2</w:t>
            </w:r>
          </w:p>
        </w:tc>
      </w:tr>
      <w:tr w:rsidR="00265670" w:rsidTr="007A7093">
        <w:tc>
          <w:tcPr>
            <w:tcW w:w="646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60</w:t>
            </w: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 w:val="restart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5670" w:rsidTr="007A7093">
        <w:tc>
          <w:tcPr>
            <w:tcW w:w="646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60</w:t>
            </w: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5670" w:rsidTr="007A7093">
        <w:tc>
          <w:tcPr>
            <w:tcW w:w="646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90</w:t>
            </w: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5670" w:rsidTr="007A7093">
        <w:tc>
          <w:tcPr>
            <w:tcW w:w="646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120</w:t>
            </w: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5670" w:rsidTr="007A7093">
        <w:tc>
          <w:tcPr>
            <w:tcW w:w="646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323" w:type="dxa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120</w:t>
            </w: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4" w:type="dxa"/>
            <w:vMerge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65670" w:rsidTr="00265670">
        <w:tc>
          <w:tcPr>
            <w:tcW w:w="646" w:type="dxa"/>
            <w:shd w:val="clear" w:color="auto" w:fill="D9D9D9" w:themeFill="background1" w:themeFillShade="D9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2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65670" w:rsidRPr="004C28CD" w:rsidRDefault="00265670" w:rsidP="007A70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</w:p>
        </w:tc>
      </w:tr>
    </w:tbl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6</w:t>
      </w:r>
      <w:r>
        <w:rPr>
          <w:rFonts w:ascii="Times New Roman" w:hAnsi="Times New Roman" w:cs="Times New Roman"/>
          <w:sz w:val="28"/>
        </w:rPr>
        <w:t>. Результати оцінки величини прискорення вільного падіння:</w:t>
      </w:r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C270A">
        <w:rPr>
          <w:rFonts w:ascii="Times New Roman" w:hAnsi="Times New Roman" w:cs="Times New Roman"/>
          <w:sz w:val="28"/>
          <w:highlight w:val="yellow"/>
        </w:rPr>
        <w:t>// за формулою (</w:t>
      </w:r>
      <w:r>
        <w:rPr>
          <w:rFonts w:ascii="Times New Roman" w:hAnsi="Times New Roman" w:cs="Times New Roman"/>
          <w:sz w:val="28"/>
          <w:highlight w:val="yellow"/>
        </w:rPr>
        <w:t>4</w:t>
      </w:r>
      <w:r w:rsidRPr="005C270A">
        <w:rPr>
          <w:rFonts w:ascii="Times New Roman" w:hAnsi="Times New Roman" w:cs="Times New Roman"/>
          <w:sz w:val="28"/>
          <w:highlight w:val="yellow"/>
        </w:rPr>
        <w:t>.</w:t>
      </w:r>
      <w:r>
        <w:rPr>
          <w:rFonts w:ascii="Times New Roman" w:hAnsi="Times New Roman" w:cs="Times New Roman"/>
          <w:sz w:val="28"/>
          <w:highlight w:val="yellow"/>
        </w:rPr>
        <w:t>1</w:t>
      </w:r>
      <w:r w:rsidRPr="005C270A">
        <w:rPr>
          <w:rFonts w:ascii="Times New Roman" w:hAnsi="Times New Roman" w:cs="Times New Roman"/>
          <w:sz w:val="28"/>
          <w:highlight w:val="yellow"/>
        </w:rPr>
        <w:t xml:space="preserve">) з методичних вказівок </w:t>
      </w:r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Результати оцінки похибок прямого вимірювання довжини підвісу та періоду коливань</w:t>
      </w:r>
    </w:p>
    <w:p w:rsidR="00265670" w:rsidRPr="00265670" w:rsidRDefault="00265670" w:rsidP="00265670">
      <w:pPr>
        <w:spacing w:after="0" w:line="360" w:lineRule="auto"/>
        <w:jc w:val="center"/>
        <w:rPr>
          <w:rFonts w:ascii="Times New Roman" w:hAnsi="Times New Roman" w:cs="Times New Roman"/>
          <w:sz w:val="28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2</m:t>
              </m:r>
            </m:sub>
          </m:sSub>
        </m:oMath>
      </m:oMathPara>
    </w:p>
    <w:p w:rsidR="00265670" w:rsidRPr="00265670" w:rsidRDefault="00265670" w:rsidP="00265670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highlight w:val="yellow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highlight w:val="yellow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highlight w:val="yellow"/>
                </w:rPr>
                <m:t>2</m:t>
              </m:r>
            </m:sub>
          </m:sSub>
        </m:oMath>
      </m:oMathPara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 Результати оцінки похибки непрямого вимірювання величини прискорення вільного падіння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265670" w:rsidRPr="00265670" w:rsidRDefault="00265670" w:rsidP="00265670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  <w:highlight w:val="yellow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g=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g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±δg%</m:t>
          </m:r>
        </m:oMath>
      </m:oMathPara>
    </w:p>
    <w:p w:rsidR="00265670" w:rsidRPr="00265670" w:rsidRDefault="00265670" w:rsidP="00265670">
      <w:pPr>
        <w:spacing w:after="0" w:line="360" w:lineRule="auto"/>
        <w:rPr>
          <w:rFonts w:ascii="Times New Roman" w:eastAsiaTheme="minorEastAsia" w:hAnsi="Times New Roman" w:cs="Times New Roman"/>
          <w:i/>
          <w:sz w:val="28"/>
        </w:rPr>
      </w:pPr>
      <m:oMathPara>
        <m:oMath>
          <m:r>
            <w:rPr>
              <w:rFonts w:ascii="Cambria Math" w:hAnsi="Cambria Math" w:cs="Times New Roman"/>
              <w:sz w:val="28"/>
              <w:highlight w:val="yellow"/>
            </w:rPr>
            <m:t>g=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highlight w:val="yellow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highlight w:val="yellow"/>
                </w:rPr>
                <m:t>g</m:t>
              </m:r>
            </m:e>
          </m:acc>
          <m:r>
            <w:rPr>
              <w:rFonts w:ascii="Cambria Math" w:hAnsi="Cambria Math" w:cs="Times New Roman"/>
              <w:sz w:val="28"/>
              <w:highlight w:val="yellow"/>
            </w:rPr>
            <m:t>±∆g</m:t>
          </m:r>
        </m:oMath>
      </m:oMathPara>
    </w:p>
    <w:p w:rsidR="00265670" w:rsidRPr="00265670" w:rsidRDefault="00265670" w:rsidP="00265670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65670">
        <w:rPr>
          <w:rFonts w:ascii="Times New Roman" w:hAnsi="Times New Roman" w:cs="Times New Roman"/>
          <w:i/>
          <w:sz w:val="28"/>
          <w:highlight w:val="yellow"/>
        </w:rPr>
        <w:t xml:space="preserve">// </w:t>
      </w:r>
      <w:r w:rsidRPr="00265670">
        <w:rPr>
          <w:rFonts w:ascii="Times New Roman" w:hAnsi="Times New Roman" w:cs="Times New Roman"/>
          <w:sz w:val="28"/>
          <w:highlight w:val="yellow"/>
        </w:rPr>
        <w:t xml:space="preserve">про одиниці вимірювання </w:t>
      </w:r>
      <w:r>
        <w:rPr>
          <w:rFonts w:ascii="Times New Roman" w:hAnsi="Times New Roman" w:cs="Times New Roman"/>
          <w:sz w:val="28"/>
          <w:highlight w:val="yellow"/>
        </w:rPr>
        <w:t xml:space="preserve">також </w:t>
      </w:r>
      <w:r w:rsidRPr="00265670">
        <w:rPr>
          <w:rFonts w:ascii="Times New Roman" w:hAnsi="Times New Roman" w:cs="Times New Roman"/>
          <w:sz w:val="28"/>
          <w:highlight w:val="yellow"/>
        </w:rPr>
        <w:t>не забуваємо…</w:t>
      </w:r>
    </w:p>
    <w:p w:rsidR="00265670" w:rsidRPr="004C28CD" w:rsidRDefault="00265670" w:rsidP="00265670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</w:p>
    <w:p w:rsidR="00D749C0" w:rsidRPr="00AE130D" w:rsidRDefault="00AE130D" w:rsidP="00AE13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Висновки</w:t>
      </w:r>
    </w:p>
    <w:p w:rsidR="00D749C0" w:rsidRDefault="00AE130D" w:rsidP="00AE130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C4A7E">
        <w:rPr>
          <w:rFonts w:ascii="Times New Roman" w:hAnsi="Times New Roman" w:cs="Times New Roman"/>
          <w:sz w:val="28"/>
          <w:highlight w:val="yellow"/>
        </w:rPr>
        <w:t xml:space="preserve">// </w:t>
      </w:r>
      <w:r w:rsidR="00265670">
        <w:rPr>
          <w:rFonts w:ascii="Times New Roman" w:hAnsi="Times New Roman" w:cs="Times New Roman"/>
          <w:sz w:val="28"/>
          <w:highlight w:val="yellow"/>
        </w:rPr>
        <w:t xml:space="preserve">Чи </w:t>
      </w:r>
      <w:proofErr w:type="spellStart"/>
      <w:r w:rsidR="00265670">
        <w:rPr>
          <w:rFonts w:ascii="Times New Roman" w:hAnsi="Times New Roman" w:cs="Times New Roman"/>
          <w:sz w:val="28"/>
          <w:highlight w:val="yellow"/>
        </w:rPr>
        <w:t>співпали</w:t>
      </w:r>
      <w:proofErr w:type="spellEnd"/>
      <w:r w:rsidR="00265670">
        <w:rPr>
          <w:rFonts w:ascii="Times New Roman" w:hAnsi="Times New Roman" w:cs="Times New Roman"/>
          <w:sz w:val="28"/>
          <w:highlight w:val="yellow"/>
        </w:rPr>
        <w:t xml:space="preserve"> значення прискорення вільного падіння у двох серіях дослідів? Чи з урахуванням абсолютної похибки попадає у ваш діапазон табличне значення 9,8 </w:t>
      </w:r>
      <w:r w:rsidR="00265670">
        <w:rPr>
          <w:rFonts w:ascii="Times New Roman" w:hAnsi="Times New Roman" w:cs="Times New Roman"/>
          <w:i/>
          <w:sz w:val="28"/>
          <w:highlight w:val="yellow"/>
        </w:rPr>
        <w:t>м/с</w:t>
      </w:r>
      <w:r w:rsidR="00265670" w:rsidRPr="00265670">
        <w:rPr>
          <w:rFonts w:ascii="Times New Roman" w:hAnsi="Times New Roman" w:cs="Times New Roman"/>
          <w:i/>
          <w:sz w:val="28"/>
          <w:highlight w:val="yellow"/>
          <w:vertAlign w:val="superscript"/>
        </w:rPr>
        <w:t>2</w:t>
      </w:r>
      <w:r w:rsidR="00AC4A7E" w:rsidRPr="00AC4A7E">
        <w:rPr>
          <w:rFonts w:ascii="Times New Roman" w:hAnsi="Times New Roman" w:cs="Times New Roman"/>
          <w:sz w:val="28"/>
          <w:highlight w:val="yellow"/>
        </w:rPr>
        <w:t xml:space="preserve">? </w:t>
      </w:r>
      <w:bookmarkStart w:id="0" w:name="_GoBack"/>
      <w:bookmarkEnd w:id="0"/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Default="00D749C0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749C0" w:rsidRPr="003B7C88" w:rsidRDefault="003B7C88" w:rsidP="004B545D">
      <w:pPr>
        <w:spacing w:after="0" w:line="360" w:lineRule="auto"/>
        <w:rPr>
          <w:rFonts w:ascii="Times New Roman" w:hAnsi="Times New Roman" w:cs="Times New Roman"/>
          <w:sz w:val="28"/>
          <w:lang w:val="en-US"/>
        </w:rPr>
      </w:pPr>
      <w:r w:rsidRPr="003B7C88">
        <w:rPr>
          <w:rFonts w:ascii="Times New Roman" w:hAnsi="Times New Roman" w:cs="Times New Roman"/>
          <w:sz w:val="28"/>
          <w:highlight w:val="green"/>
        </w:rPr>
        <w:t xml:space="preserve">Звіт зберегти у форматі </w:t>
      </w:r>
      <w:r w:rsidRPr="003B7C88">
        <w:rPr>
          <w:rFonts w:ascii="Times New Roman" w:hAnsi="Times New Roman" w:cs="Times New Roman"/>
          <w:sz w:val="28"/>
          <w:highlight w:val="green"/>
          <w:u w:val="single"/>
          <w:lang w:val="en-US"/>
        </w:rPr>
        <w:t>pdf</w:t>
      </w:r>
      <w:r w:rsidRPr="003B7C88">
        <w:rPr>
          <w:rFonts w:ascii="Times New Roman" w:hAnsi="Times New Roman" w:cs="Times New Roman"/>
          <w:sz w:val="28"/>
          <w:highlight w:val="green"/>
          <w:lang w:val="en-US"/>
        </w:rPr>
        <w:t xml:space="preserve"> </w:t>
      </w:r>
      <w:r w:rsidRPr="003B7C88">
        <w:rPr>
          <w:rFonts w:ascii="Times New Roman" w:hAnsi="Times New Roman" w:cs="Times New Roman"/>
          <w:sz w:val="28"/>
          <w:highlight w:val="green"/>
        </w:rPr>
        <w:t xml:space="preserve">та відправити на пошту </w:t>
      </w:r>
      <w:hyperlink r:id="rId5" w:history="1">
        <w:r w:rsidRPr="003B7C88">
          <w:rPr>
            <w:rStyle w:val="a6"/>
            <w:rFonts w:ascii="Times New Roman" w:hAnsi="Times New Roman" w:cs="Times New Roman"/>
            <w:sz w:val="28"/>
            <w:highlight w:val="green"/>
            <w:lang w:val="en-US"/>
          </w:rPr>
          <w:t>krt_kro@ztu.edu.ua</w:t>
        </w:r>
      </w:hyperlink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4B545D" w:rsidRPr="004B545D" w:rsidRDefault="004B545D" w:rsidP="004B545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4B545D" w:rsidRPr="004B545D" w:rsidSect="004B54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06749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B71FE7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927B3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A2130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7611E4"/>
    <w:multiLevelType w:val="hybridMultilevel"/>
    <w:tmpl w:val="0660E3A8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9"/>
    <w:rsid w:val="00036B93"/>
    <w:rsid w:val="001E439F"/>
    <w:rsid w:val="001F5D8E"/>
    <w:rsid w:val="00235DAC"/>
    <w:rsid w:val="00265670"/>
    <w:rsid w:val="002B77A0"/>
    <w:rsid w:val="002E1F85"/>
    <w:rsid w:val="003B7C88"/>
    <w:rsid w:val="0049133E"/>
    <w:rsid w:val="004B545D"/>
    <w:rsid w:val="004C28CD"/>
    <w:rsid w:val="005C270A"/>
    <w:rsid w:val="00807FDA"/>
    <w:rsid w:val="008F3DB9"/>
    <w:rsid w:val="00AC4A7E"/>
    <w:rsid w:val="00AE130D"/>
    <w:rsid w:val="00D749C0"/>
    <w:rsid w:val="00EB50A8"/>
    <w:rsid w:val="00EB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9EB9-E950-43D8-9F1A-D80D490F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5D"/>
    <w:pPr>
      <w:ind w:left="720"/>
      <w:contextualSpacing/>
    </w:pPr>
  </w:style>
  <w:style w:type="table" w:styleId="a4">
    <w:name w:val="Table Grid"/>
    <w:basedOn w:val="a1"/>
    <w:uiPriority w:val="39"/>
    <w:rsid w:val="004B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36B93"/>
    <w:rPr>
      <w:color w:val="808080"/>
    </w:rPr>
  </w:style>
  <w:style w:type="character" w:styleId="a6">
    <w:name w:val="Hyperlink"/>
    <w:basedOn w:val="a0"/>
    <w:uiPriority w:val="99"/>
    <w:unhideWhenUsed/>
    <w:rsid w:val="003B7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t_kro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3</cp:revision>
  <dcterms:created xsi:type="dcterms:W3CDTF">2023-03-28T10:02:00Z</dcterms:created>
  <dcterms:modified xsi:type="dcterms:W3CDTF">2023-03-28T11:38:00Z</dcterms:modified>
</cp:coreProperties>
</file>