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EAC5A" w14:textId="2B4BA45D" w:rsidR="0021017A" w:rsidRPr="00EF245C" w:rsidRDefault="00D518D4" w:rsidP="00EF24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18D4">
        <w:rPr>
          <w:noProof/>
          <w:lang w:val="en-US"/>
        </w:rPr>
        <w:drawing>
          <wp:inline distT="0" distB="0" distL="0" distR="0" wp14:anchorId="26501F4B" wp14:editId="5C8E02AC">
            <wp:extent cx="6120765" cy="8687768"/>
            <wp:effectExtent l="0" t="0" r="0" b="0"/>
            <wp:docPr id="3" name="Рисунок 3" descr="C:\Users\Пользователь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8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539B">
        <w:br w:type="page"/>
      </w:r>
      <w:bookmarkStart w:id="0" w:name="_GoBack"/>
      <w:bookmarkEnd w:id="0"/>
    </w:p>
    <w:p w14:paraId="4A16D9E1" w14:textId="77777777" w:rsidR="0021017A" w:rsidRPr="004E4051" w:rsidRDefault="0021017A" w:rsidP="0021017A">
      <w:pPr>
        <w:ind w:left="7513" w:hanging="425"/>
      </w:pPr>
      <w:r w:rsidRPr="004E4051">
        <w:lastRenderedPageBreak/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732CDA7B" w:rsidR="0021017A" w:rsidRPr="0021017A" w:rsidRDefault="008D5AE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3">
              <w:rPr>
                <w:rFonts w:ascii="Times New Roman" w:hAnsi="Times New Roman" w:cs="Times New Roman"/>
                <w:sz w:val="24"/>
                <w:szCs w:val="24"/>
              </w:rPr>
              <w:t>18 Виробництво та технології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3151AF3C" w:rsidR="0021017A" w:rsidRPr="0021017A" w:rsidRDefault="008D5AE3" w:rsidP="00A4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AE3">
              <w:rPr>
                <w:rFonts w:ascii="Times New Roman" w:hAnsi="Times New Roman" w:cs="Times New Roman"/>
                <w:sz w:val="24"/>
                <w:szCs w:val="24"/>
              </w:rPr>
              <w:t xml:space="preserve">184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D5AE3">
              <w:rPr>
                <w:rFonts w:ascii="Times New Roman" w:hAnsi="Times New Roman" w:cs="Times New Roman"/>
                <w:sz w:val="24"/>
                <w:szCs w:val="24"/>
              </w:rPr>
              <w:t>Гірництво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7946ADDB" w:rsidR="00437863" w:rsidRPr="0021017A" w:rsidRDefault="008D5AE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4F72DAF6" w:rsidR="0021017A" w:rsidRPr="0021017A" w:rsidRDefault="008D5AE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0C2E9619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 xml:space="preserve">Історія </w:t>
      </w:r>
      <w:r w:rsidR="008D5AE3">
        <w:rPr>
          <w:rFonts w:ascii="Times New Roman" w:hAnsi="Times New Roman" w:cs="Times New Roman"/>
          <w:sz w:val="24"/>
          <w:szCs w:val="24"/>
        </w:rPr>
        <w:t xml:space="preserve">та культура </w:t>
      </w:r>
      <w:r w:rsidR="00A47B64">
        <w:rPr>
          <w:rFonts w:ascii="Times New Roman" w:hAnsi="Times New Roman" w:cs="Times New Roman"/>
          <w:sz w:val="24"/>
          <w:szCs w:val="24"/>
        </w:rPr>
        <w:t>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8D5AE3">
        <w:rPr>
          <w:rFonts w:ascii="Times New Roman" w:hAnsi="Times New Roman" w:cs="Times New Roman"/>
          <w:sz w:val="24"/>
          <w:szCs w:val="24"/>
        </w:rPr>
        <w:t>«</w:t>
      </w:r>
      <w:r w:rsidR="008D5AE3" w:rsidRPr="008D5AE3">
        <w:rPr>
          <w:rFonts w:ascii="Times New Roman" w:hAnsi="Times New Roman" w:cs="Times New Roman"/>
          <w:sz w:val="24"/>
          <w:szCs w:val="24"/>
        </w:rPr>
        <w:t>184 Гірництво</w:t>
      </w:r>
      <w:r w:rsidR="008D5AE3">
        <w:rPr>
          <w:rFonts w:ascii="Times New Roman" w:hAnsi="Times New Roman" w:cs="Times New Roman"/>
          <w:sz w:val="24"/>
          <w:szCs w:val="24"/>
        </w:rPr>
        <w:t xml:space="preserve">», </w:t>
      </w:r>
      <w:r w:rsidR="0060060B">
        <w:rPr>
          <w:rFonts w:ascii="Times New Roman" w:hAnsi="Times New Roman" w:cs="Times New Roman"/>
          <w:sz w:val="24"/>
          <w:szCs w:val="24"/>
        </w:rPr>
        <w:t xml:space="preserve">освітньо-професійної програми </w:t>
      </w:r>
      <w:r w:rsidR="008D5AE3">
        <w:rPr>
          <w:rFonts w:ascii="Times New Roman" w:hAnsi="Times New Roman" w:cs="Times New Roman"/>
          <w:sz w:val="24"/>
          <w:szCs w:val="24"/>
        </w:rPr>
        <w:t>«Гірництво</w:t>
      </w:r>
      <w:r w:rsidR="0060060B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3824B628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</w:t>
      </w:r>
      <w:r w:rsidR="008D5AE3">
        <w:rPr>
          <w:rFonts w:ascii="Times New Roman" w:hAnsi="Times New Roman" w:cs="Times New Roman"/>
          <w:sz w:val="24"/>
          <w:szCs w:val="24"/>
        </w:rPr>
        <w:t xml:space="preserve"> та культури</w:t>
      </w:r>
      <w:r w:rsidRPr="00995C9C">
        <w:rPr>
          <w:rFonts w:ascii="Times New Roman" w:hAnsi="Times New Roman" w:cs="Times New Roman"/>
          <w:sz w:val="24"/>
          <w:szCs w:val="24"/>
        </w:rPr>
        <w:t>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30E8A86F" w14:textId="7617347E" w:rsidR="004C176E" w:rsidRDefault="004C176E" w:rsidP="004C17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ЗК-1</w:t>
      </w:r>
      <w:r w:rsidRPr="004C176E">
        <w:rPr>
          <w:rFonts w:ascii="Times New Roman" w:hAnsi="Times New Roman" w:cs="Times New Roman"/>
          <w:sz w:val="24"/>
          <w:szCs w:val="24"/>
        </w:rPr>
        <w:t>. Здатність до засвоєння і си</w:t>
      </w:r>
      <w:r>
        <w:rPr>
          <w:rFonts w:ascii="Times New Roman" w:hAnsi="Times New Roman" w:cs="Times New Roman"/>
          <w:sz w:val="24"/>
          <w:szCs w:val="24"/>
        </w:rPr>
        <w:t xml:space="preserve">стемного аналізу через критичне </w:t>
      </w:r>
      <w:r w:rsidRPr="004C176E">
        <w:rPr>
          <w:rFonts w:ascii="Times New Roman" w:hAnsi="Times New Roman" w:cs="Times New Roman"/>
          <w:sz w:val="24"/>
          <w:szCs w:val="24"/>
        </w:rPr>
        <w:t xml:space="preserve">осмислення нових знань в галузі </w:t>
      </w:r>
      <w:r>
        <w:rPr>
          <w:rFonts w:ascii="Times New Roman" w:hAnsi="Times New Roman" w:cs="Times New Roman"/>
          <w:sz w:val="24"/>
          <w:szCs w:val="24"/>
        </w:rPr>
        <w:t xml:space="preserve">управління та адміністрування і </w:t>
      </w:r>
      <w:r w:rsidRPr="004C176E">
        <w:rPr>
          <w:rFonts w:ascii="Times New Roman" w:hAnsi="Times New Roman" w:cs="Times New Roman"/>
          <w:sz w:val="24"/>
          <w:szCs w:val="24"/>
        </w:rPr>
        <w:t>міжпредметних галузях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4DD3D1" w14:textId="2F88DF3B" w:rsidR="009135CD" w:rsidRPr="008D5AE3" w:rsidRDefault="005777CC" w:rsidP="008D5AE3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 w:rsidR="008D5AE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8D5AE3" w:rsidRPr="008D5AE3">
        <w:rPr>
          <w:rFonts w:ascii="Times New Roman" w:hAnsi="Times New Roman" w:cs="Times New Roman"/>
          <w:sz w:val="24"/>
          <w:szCs w:val="24"/>
        </w:rPr>
        <w:t>Здатність до критичного анал</w:t>
      </w:r>
      <w:r w:rsidR="008D5AE3">
        <w:rPr>
          <w:rFonts w:ascii="Times New Roman" w:hAnsi="Times New Roman" w:cs="Times New Roman"/>
          <w:sz w:val="24"/>
          <w:szCs w:val="24"/>
        </w:rPr>
        <w:t>ізу і креативного синтезу нових</w:t>
      </w:r>
      <w:r w:rsidR="008D5AE3" w:rsidRPr="008D5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5AE3" w:rsidRPr="008D5AE3">
        <w:rPr>
          <w:rFonts w:ascii="Times New Roman" w:hAnsi="Times New Roman" w:cs="Times New Roman"/>
          <w:sz w:val="24"/>
          <w:szCs w:val="24"/>
        </w:rPr>
        <w:t>ідей, які можуть сприят</w:t>
      </w:r>
      <w:r w:rsidR="008D5AE3">
        <w:rPr>
          <w:rFonts w:ascii="Times New Roman" w:hAnsi="Times New Roman" w:cs="Times New Roman"/>
          <w:sz w:val="24"/>
          <w:szCs w:val="24"/>
        </w:rPr>
        <w:t>и в академічному і професійному</w:t>
      </w:r>
      <w:r w:rsidR="008D5AE3" w:rsidRPr="008D5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5AE3" w:rsidRPr="008D5AE3">
        <w:rPr>
          <w:rFonts w:ascii="Times New Roman" w:hAnsi="Times New Roman" w:cs="Times New Roman"/>
          <w:sz w:val="24"/>
          <w:szCs w:val="24"/>
        </w:rPr>
        <w:t>контекстах економічному, соці</w:t>
      </w:r>
      <w:r w:rsidR="008D5AE3">
        <w:rPr>
          <w:rFonts w:ascii="Times New Roman" w:hAnsi="Times New Roman" w:cs="Times New Roman"/>
          <w:sz w:val="24"/>
          <w:szCs w:val="24"/>
        </w:rPr>
        <w:t>альному та культурному прогресу</w:t>
      </w:r>
      <w:r w:rsidR="008D5AE3" w:rsidRPr="008D5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5AE3" w:rsidRPr="008D5AE3">
        <w:rPr>
          <w:rFonts w:ascii="Times New Roman" w:hAnsi="Times New Roman" w:cs="Times New Roman"/>
          <w:sz w:val="24"/>
          <w:szCs w:val="24"/>
        </w:rPr>
        <w:t xml:space="preserve">суспільства, базованому на </w:t>
      </w:r>
      <w:r w:rsidR="008D5AE3">
        <w:rPr>
          <w:rFonts w:ascii="Times New Roman" w:hAnsi="Times New Roman" w:cs="Times New Roman"/>
          <w:sz w:val="24"/>
          <w:szCs w:val="24"/>
        </w:rPr>
        <w:t>знаннях, здатність до критики й</w:t>
      </w:r>
      <w:r w:rsidR="008D5AE3" w:rsidRPr="008D5AE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5AE3">
        <w:rPr>
          <w:rFonts w:ascii="Times New Roman" w:hAnsi="Times New Roman" w:cs="Times New Roman"/>
          <w:sz w:val="24"/>
          <w:szCs w:val="24"/>
        </w:rPr>
        <w:t xml:space="preserve">самокритики. </w:t>
      </w:r>
    </w:p>
    <w:p w14:paraId="579B4743" w14:textId="1EF762A6" w:rsidR="00417FBD" w:rsidRDefault="00417FBD" w:rsidP="004C176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75794C7E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76E" w:rsidRPr="004C176E">
        <w:rPr>
          <w:rFonts w:ascii="Times New Roman" w:hAnsi="Times New Roman" w:cs="Times New Roman"/>
          <w:sz w:val="24"/>
          <w:szCs w:val="24"/>
        </w:rPr>
        <w:t>«184 Гірництво»</w:t>
      </w:r>
      <w:r w:rsidR="004C1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BE22467" w14:textId="71539BF6" w:rsidR="0021017A" w:rsidRDefault="005777CC" w:rsidP="004C176E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 w:rsidR="00802D8E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4C176E" w:rsidRPr="004C176E">
        <w:rPr>
          <w:rFonts w:ascii="Times New Roman" w:hAnsi="Times New Roman" w:cs="Times New Roman"/>
          <w:sz w:val="24"/>
          <w:szCs w:val="24"/>
        </w:rPr>
        <w:t>Вміти доступно, на високому науковому рівні доносити сучасні наукові з</w:t>
      </w:r>
      <w:r w:rsidR="004C176E">
        <w:rPr>
          <w:rFonts w:ascii="Times New Roman" w:hAnsi="Times New Roman" w:cs="Times New Roman"/>
          <w:sz w:val="24"/>
          <w:szCs w:val="24"/>
        </w:rPr>
        <w:t xml:space="preserve">нання та </w:t>
      </w:r>
      <w:r w:rsidR="004C176E" w:rsidRPr="004C176E">
        <w:rPr>
          <w:rFonts w:ascii="Times New Roman" w:hAnsi="Times New Roman" w:cs="Times New Roman"/>
          <w:sz w:val="24"/>
          <w:szCs w:val="24"/>
        </w:rPr>
        <w:t>результати досліджень до професійної та непрофесійної спільноти</w:t>
      </w:r>
      <w:r w:rsidR="004C176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2956F7" w14:textId="3FFA0611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75C786D3" w14:textId="028C45E4" w:rsidR="00614CB9" w:rsidRDefault="00614CB9" w:rsidP="004C176E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lastRenderedPageBreak/>
        <w:t>Входження УСРР до складу СРСР. Голод 1921-1923 рр.: причини, масштаби, наслідки. Причини і особливості впровадження НЕПу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55A9900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D4A1A">
        <w:rPr>
          <w:rFonts w:ascii="Times New Roman" w:hAnsi="Times New Roman" w:cs="Times New Roman"/>
          <w:bCs/>
          <w:sz w:val="24"/>
          <w:szCs w:val="24"/>
        </w:rPr>
        <w:tab/>
        <w:t xml:space="preserve">Суспільно-політичне </w:t>
      </w:r>
      <w:r w:rsidRPr="00AE58ED">
        <w:rPr>
          <w:rFonts w:ascii="Times New Roman" w:hAnsi="Times New Roman" w:cs="Times New Roman"/>
          <w:bCs/>
          <w:sz w:val="24"/>
          <w:szCs w:val="24"/>
        </w:rPr>
        <w:t>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Усьо-го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усьо-го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3BDD5F97" w:rsidR="00E03DBA" w:rsidRPr="00D87E67" w:rsidRDefault="008D4A1A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6F9AAF16" w14:textId="1928D74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" w:type="pct"/>
            <w:gridSpan w:val="2"/>
          </w:tcPr>
          <w:p w14:paraId="1C3BCA84" w14:textId="31B41FA8" w:rsidR="00E03DBA" w:rsidRPr="00AF4E03" w:rsidRDefault="008D4A1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5EB66886" w:rsidR="00AE58ED" w:rsidRDefault="008D4A1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71CD7A2D" w14:textId="36A0ABCC" w:rsidR="00AE58ED" w:rsidRDefault="008D4A1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25F37F4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68F3D675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260749D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0A3ABD83" w:rsidR="00581429" w:rsidRPr="00CF40E7" w:rsidRDefault="00CF40E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6E7FFD9F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5C1044E2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F31B70C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661FE25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191C1A0B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541271A8" w:rsidR="006C16A1" w:rsidRPr="00C60312" w:rsidRDefault="00C60312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5AE2C599" w:rsidR="006C16A1" w:rsidRDefault="0004673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5A0EF208" w:rsidR="00996008" w:rsidRPr="00995C9C" w:rsidRDefault="004C176E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</w:t>
            </w:r>
            <w:r w:rsidRPr="004C176E">
              <w:rPr>
                <w:rFonts w:ascii="Times New Roman" w:hAnsi="Times New Roman" w:cs="Times New Roman"/>
                <w:sz w:val="24"/>
                <w:szCs w:val="24"/>
              </w:rPr>
              <w:t xml:space="preserve"> та Речі Посполитої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14119CFD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1568821E" w:rsidR="00995C9C" w:rsidRPr="00995C9C" w:rsidRDefault="004C176E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6E">
              <w:rPr>
                <w:rFonts w:ascii="Times New Roman" w:hAnsi="Times New Roman" w:cs="Times New Roman"/>
                <w:sz w:val="24"/>
                <w:szCs w:val="24"/>
              </w:rPr>
              <w:t>Українська національно-демократична революція 1917-1921 рр.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400E9008" w:rsidR="00995C9C" w:rsidRPr="00995C9C" w:rsidRDefault="004C176E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6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1939-1945 рр.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5A6C1E7B" w:rsidR="00995C9C" w:rsidRPr="00995C9C" w:rsidRDefault="004C176E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176E">
              <w:rPr>
                <w:rFonts w:ascii="Times New Roman" w:hAnsi="Times New Roman" w:cs="Times New Roman"/>
                <w:sz w:val="24"/>
                <w:szCs w:val="24"/>
              </w:rPr>
              <w:t>Україна у добу кризи тоталітарного режиму (1945-1991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lastRenderedPageBreak/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операція/Операція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lastRenderedPageBreak/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3D2D66D8" w14:textId="69067555" w:rsidR="004C176E" w:rsidRPr="004C176E" w:rsidRDefault="004C176E" w:rsidP="004C176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176E">
        <w:rPr>
          <w:rFonts w:ascii="Times New Roman" w:hAnsi="Times New Roman" w:cs="Times New Roman"/>
          <w:sz w:val="28"/>
          <w:szCs w:val="28"/>
          <w:shd w:val="clear" w:color="auto" w:fill="FFFFFF"/>
        </w:rPr>
        <w:t>Історія та культура України: навчально-методичний посібник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(у схемах і </w:t>
      </w:r>
      <w:r w:rsidRPr="004C176E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таблицях) / за наук. ред. проф. В. С. Бліхара. Львів: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1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ПП «Арал», 2018. </w:t>
      </w: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4C1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480 с. </w:t>
      </w:r>
    </w:p>
    <w:p w14:paraId="7A468A4E" w14:textId="1F989F8B" w:rsidR="00715534" w:rsidRDefault="00715534" w:rsidP="004C176E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 П. С. Новітня історія України (1939 – 2007 рр.). / П. С. Коріненко, М. В. Бармак, В. Д. Терещенко – Ч. ІV. – Тернопіль: Видавництво Астон,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Пінак Є., Чмир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Військо Української революції 1917–1921 років. – Харків: Книжковий клуб «Клуб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 Ю. Ю Давня і середньовічна історія України – Ч. І-ІІІ. / Ю. Ю. Свідерський, В. М. Окаринський .– Тернопіль: Астон,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4F23D91E" w14:textId="3D8AAF59" w:rsidR="004C176E" w:rsidRPr="004C176E" w:rsidRDefault="004C176E" w:rsidP="004C176E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C176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І</w:t>
      </w:r>
      <w:r w:rsidR="004C62D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сторія і культура України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 електрон. підручник для студентів природничих і технічних спеціальностей</w:t>
      </w:r>
      <w:r w:rsidRPr="004C176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/ В.В. Іваненко, Г.Г. Кривчик. – Д.: ДНУ ім. Олеся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4C176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Гончара, 2016. – 206 с.</w:t>
      </w:r>
    </w:p>
    <w:p w14:paraId="1C0F7CF1" w14:textId="5B7C6B0E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C176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Історія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України: підручник для студентів неісторичних спеціальностей вищих навчальних закладів / М. І. Бушин, д.і.н., проф. О. І. Гуржій; М-во освіти і науки України, Черкас. держ. технол. ун-т.–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Україна в Другій світовій війні: погляд з ХХІ ст. У 2 кн. : історичні нариси. Кн.1 / [А. Айсфельд, І. Вєтров, Т. Вінцковський та ін.]; редкол.: В. А. Смолій (голова колегії) та ін. — К. : Наукова думка, 2011. — 731 с.</w:t>
      </w:r>
    </w:p>
    <w:p w14:paraId="5517A978" w14:textId="1F305EF2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1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1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080C7FAE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D518D4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1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46730"/>
    <w:rsid w:val="00050D62"/>
    <w:rsid w:val="00051FCE"/>
    <w:rsid w:val="00091354"/>
    <w:rsid w:val="000A38FF"/>
    <w:rsid w:val="000B3EC9"/>
    <w:rsid w:val="000C4176"/>
    <w:rsid w:val="000D243F"/>
    <w:rsid w:val="000D5625"/>
    <w:rsid w:val="000D6068"/>
    <w:rsid w:val="000E0BC0"/>
    <w:rsid w:val="000E58CC"/>
    <w:rsid w:val="001023E7"/>
    <w:rsid w:val="00120CB8"/>
    <w:rsid w:val="00154E5B"/>
    <w:rsid w:val="001727DE"/>
    <w:rsid w:val="001817CE"/>
    <w:rsid w:val="001947FB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528BB"/>
    <w:rsid w:val="004C176E"/>
    <w:rsid w:val="004C62D1"/>
    <w:rsid w:val="004E7A6C"/>
    <w:rsid w:val="005048E0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3753"/>
    <w:rsid w:val="006C16A1"/>
    <w:rsid w:val="006C38C5"/>
    <w:rsid w:val="00715534"/>
    <w:rsid w:val="0071682B"/>
    <w:rsid w:val="00725374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02D8E"/>
    <w:rsid w:val="00876207"/>
    <w:rsid w:val="00886855"/>
    <w:rsid w:val="008A66F8"/>
    <w:rsid w:val="008C7A11"/>
    <w:rsid w:val="008D4A1A"/>
    <w:rsid w:val="008D5AE3"/>
    <w:rsid w:val="008E1049"/>
    <w:rsid w:val="008E4612"/>
    <w:rsid w:val="009135CD"/>
    <w:rsid w:val="009440D3"/>
    <w:rsid w:val="009506A5"/>
    <w:rsid w:val="00957028"/>
    <w:rsid w:val="00970D58"/>
    <w:rsid w:val="00995C9C"/>
    <w:rsid w:val="00996008"/>
    <w:rsid w:val="009A0463"/>
    <w:rsid w:val="009B1F74"/>
    <w:rsid w:val="009B3AE0"/>
    <w:rsid w:val="009F5B00"/>
    <w:rsid w:val="00A00605"/>
    <w:rsid w:val="00A00785"/>
    <w:rsid w:val="00A02A28"/>
    <w:rsid w:val="00A43B93"/>
    <w:rsid w:val="00A47B64"/>
    <w:rsid w:val="00A575F0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C594E"/>
    <w:rsid w:val="00BE289A"/>
    <w:rsid w:val="00BF27FC"/>
    <w:rsid w:val="00BF4E2C"/>
    <w:rsid w:val="00C06923"/>
    <w:rsid w:val="00C07775"/>
    <w:rsid w:val="00C11856"/>
    <w:rsid w:val="00C20B68"/>
    <w:rsid w:val="00C2485F"/>
    <w:rsid w:val="00C60312"/>
    <w:rsid w:val="00C742DB"/>
    <w:rsid w:val="00C854D9"/>
    <w:rsid w:val="00C94010"/>
    <w:rsid w:val="00C9658E"/>
    <w:rsid w:val="00CB074D"/>
    <w:rsid w:val="00CF40E7"/>
    <w:rsid w:val="00D14F26"/>
    <w:rsid w:val="00D334BD"/>
    <w:rsid w:val="00D35577"/>
    <w:rsid w:val="00D36301"/>
    <w:rsid w:val="00D44E43"/>
    <w:rsid w:val="00D50CE1"/>
    <w:rsid w:val="00D518D4"/>
    <w:rsid w:val="00D85905"/>
    <w:rsid w:val="00D87E67"/>
    <w:rsid w:val="00DA54D9"/>
    <w:rsid w:val="00DB441A"/>
    <w:rsid w:val="00DB6361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A4E8C"/>
    <w:rsid w:val="00EB25F3"/>
    <w:rsid w:val="00EC340D"/>
    <w:rsid w:val="00ED676C"/>
    <w:rsid w:val="00EE0437"/>
    <w:rsid w:val="00EF245C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E1D1"/>
  <w15:docId w15:val="{EF01C1AC-C889-4F0A-AA36-B87CA8AC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ucrainarma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10</Pages>
  <Words>2480</Words>
  <Characters>14139</Characters>
  <Application>Microsoft Office Word</Application>
  <DocSecurity>0</DocSecurity>
  <Lines>117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Пользователь</cp:lastModifiedBy>
  <cp:revision>39</cp:revision>
  <dcterms:created xsi:type="dcterms:W3CDTF">2022-10-27T11:52:00Z</dcterms:created>
  <dcterms:modified xsi:type="dcterms:W3CDTF">2023-02-21T06:52:00Z</dcterms:modified>
</cp:coreProperties>
</file>