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32" w:rsidRPr="00BE508D" w:rsidRDefault="0080469D" w:rsidP="0080469D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b/>
          <w:sz w:val="28"/>
          <w:szCs w:val="28"/>
          <w:lang w:val="uk-UA"/>
        </w:rPr>
        <w:t>Мета завдання:</w:t>
      </w:r>
    </w:p>
    <w:p w:rsidR="0080469D" w:rsidRPr="00BE508D" w:rsidRDefault="0080469D" w:rsidP="0080469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- розробити пропозиції щодо дизайну прилеглої території (інтер’єрів);</w:t>
      </w:r>
    </w:p>
    <w:p w:rsidR="0080469D" w:rsidRDefault="0080469D" w:rsidP="0080469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 xml:space="preserve">- визначити суму капітальних витрат на </w:t>
      </w:r>
      <w:proofErr w:type="spellStart"/>
      <w:r w:rsidRPr="00BE508D">
        <w:rPr>
          <w:rFonts w:ascii="Times New Roman" w:hAnsi="Times New Roman" w:cs="Times New Roman"/>
          <w:sz w:val="28"/>
          <w:szCs w:val="28"/>
          <w:lang w:val="uk-UA"/>
        </w:rPr>
        <w:t>проект.</w:t>
      </w:r>
      <w:r w:rsidR="00BE508D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BE50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508D" w:rsidRPr="00BE508D" w:rsidRDefault="00BE508D" w:rsidP="0080469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- порядок здачі в експлуатацію об’єкта.</w:t>
      </w:r>
    </w:p>
    <w:p w:rsidR="00BE508D" w:rsidRPr="00BE508D" w:rsidRDefault="00BE508D" w:rsidP="0080469D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Основним стильовим напрямом у дизайнерських рішеннях проектованого готелю … за прийнятою концепцією …. . Комплекс рішень щодо зовнішньої композиції, інтер’єру, одягу персоналу, меблів, технічного оснащення підпорядкований цьому стильовому напряму.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будівництві закладу у сільській місцевості із невираженим архітектурним стилем, або в інфраструктурі автомагістралей архітектурний стиль підприємства визначається без обмежень відповідно до обраної концепції. 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випадку реконструкції (добудови, </w:t>
      </w:r>
      <w:proofErr w:type="spellStart"/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вбудови</w:t>
      </w:r>
      <w:proofErr w:type="spellEnd"/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приміщеннь</w:t>
      </w:r>
      <w:proofErr w:type="spellEnd"/>
      <w:r w:rsidRPr="00BE50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закладу) необхідно дотримуватись архітектурного стилю існуючої будівлі.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Зовнішня архітектурна композиція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Архітектурну композицію закладу утворюватиме безпосередньо будівля проектованого підприємства, організована садово-паркова зона відпочинку відвідувачів, оформлена малими архітектурними формами, та зовнішня візуальна реклама.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зовнішнього виду будівлі закладу </w:t>
      </w:r>
      <w:proofErr w:type="spellStart"/>
      <w:r w:rsidRPr="00BE508D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BE508D">
        <w:rPr>
          <w:rFonts w:ascii="Times New Roman" w:hAnsi="Times New Roman" w:cs="Times New Roman"/>
          <w:sz w:val="28"/>
          <w:szCs w:val="28"/>
          <w:lang w:val="uk-UA"/>
        </w:rPr>
        <w:t xml:space="preserve">-ресторанного господарства наводиться в описовій формі. 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Заходи благоустрою реалізовані в таких елементах: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- огородження території;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 xml:space="preserve">- вимощення підходів, </w:t>
      </w:r>
      <w:proofErr w:type="spellStart"/>
      <w:r w:rsidRPr="00BE508D">
        <w:rPr>
          <w:rFonts w:ascii="Times New Roman" w:hAnsi="Times New Roman" w:cs="Times New Roman"/>
          <w:sz w:val="28"/>
          <w:szCs w:val="28"/>
          <w:lang w:val="uk-UA"/>
        </w:rPr>
        <w:t>під’їдів</w:t>
      </w:r>
      <w:proofErr w:type="spellEnd"/>
      <w:r w:rsidRPr="00BE508D">
        <w:rPr>
          <w:rFonts w:ascii="Times New Roman" w:hAnsi="Times New Roman" w:cs="Times New Roman"/>
          <w:sz w:val="28"/>
          <w:szCs w:val="28"/>
          <w:lang w:val="uk-UA"/>
        </w:rPr>
        <w:t>, доріжок, тротуарів;</w:t>
      </w:r>
    </w:p>
    <w:p w:rsidR="00BE508D" w:rsidRPr="00BE508D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- озеленення передбачено шляхом … ;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08D">
        <w:rPr>
          <w:rFonts w:ascii="Times New Roman" w:hAnsi="Times New Roman" w:cs="Times New Roman"/>
          <w:sz w:val="28"/>
          <w:szCs w:val="28"/>
          <w:lang w:val="uk-UA"/>
        </w:rPr>
        <w:t>- штучне освіт</w:t>
      </w:r>
      <w:r w:rsidRPr="002C0136">
        <w:rPr>
          <w:rFonts w:ascii="Times New Roman" w:hAnsi="Times New Roman" w:cs="Times New Roman"/>
          <w:sz w:val="28"/>
          <w:szCs w:val="28"/>
          <w:lang w:val="uk-UA"/>
        </w:rPr>
        <w:t>лення території, яке буде забезпечене … 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Дальній рекламний засіб – … (точне місцезнаходження рекламного засобу (рекомендована відстань до об‘єкту – 1-</w:t>
      </w:r>
      <w:smartTag w:uri="urn:schemas-microsoft-com:office:smarttags" w:element="metricconverter">
        <w:smartTagPr>
          <w:attr w:name="ProductID" w:val="1,5 км"/>
        </w:smartTagPr>
        <w:r w:rsidRPr="002C0136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1,5 км</w:t>
        </w:r>
      </w:smartTag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його форма – вид (біг-борд, рекламний щит на будівлі, дорожній конструкції (міст, естакада), рекламне зображення на транспортних засобах, інше), його інформаційний зміст (місцезнаходження ЗРГ, режим роботи, особливість чи специфічність діяльності, тощо), кольорові та технічні рішення (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підсвітка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змінний формат, бігуча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строка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тощо).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Ближній рекламний засіб – … (точне місцезнаходження (в зоні міських чи районних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комунікаційно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-транспортних вузлів, на площах, перехрестях, вздовж магістралей та вулиць (рекомендована відстань до об‘єкту – 0,5-</w:t>
      </w:r>
      <w:smartTag w:uri="urn:schemas-microsoft-com:office:smarttags" w:element="metricconverter">
        <w:smartTagPr>
          <w:attr w:name="ProductID" w:val="0,3 км"/>
        </w:smartTagPr>
        <w:r w:rsidRPr="002C0136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0,3 км</w:t>
        </w:r>
      </w:smartTag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вид (біг-борд, інше), форма, кольорове та технічне виконання, інформаційний зміст (як правило, більш повний у порівнянні із дальнім рекламним засобом).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Інтер‘єр приміщень для обслуговування відвідувачів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Інтер‘єр необхідно створювати єдиною композицією в громадських приміщення, так і в житлових. В цьому напрямі і надається його опис.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lastRenderedPageBreak/>
        <w:t>Вхідна зона представлена вестибюлем, який виконаний …. . Загальне освітлення вхідної зони забезпечується через вітринні вікна. Зона приймання та реєстрації відокремлена від вестибюля …. , оздоблена втому самому стилі. Увага на рецепції спрямована використанням спрямованого світла …, застосуванням  природних …, штучних …, оздоблювальних матеріалів.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>Ліфтові холи вирішено у теплих пастельних тонах …, із влаштуванням …, освітлення загальне розсіяне.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>Описати інтер’єр житлових кімнат готелю, із використанням матеріалів та гамми кольорів. Також представити чим оздоблені громадські приміщення, та в якому стилі вони виконані.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 xml:space="preserve">Представити, чим виконана підлога в проектованому закладі, та які меблі будуть присутні. 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 описуються місця додаткового обслуговування, якщо такі передбачені проектом (дансинг, ігрові зали, тощо).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sz w:val="28"/>
          <w:szCs w:val="28"/>
          <w:lang w:val="uk-UA"/>
        </w:rPr>
        <w:t>Паспорт проекту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Основні показники проекту зведено в таблиці 15.</w:t>
      </w:r>
    </w:p>
    <w:p w:rsidR="00BE508D" w:rsidRPr="002C0136" w:rsidRDefault="00BE508D" w:rsidP="00BE508D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Таблиця 15</w:t>
      </w:r>
    </w:p>
    <w:p w:rsidR="00BE508D" w:rsidRPr="002C0136" w:rsidRDefault="00BE508D" w:rsidP="00BE508D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Паспорт проекту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80"/>
        <w:gridCol w:w="2302"/>
        <w:gridCol w:w="2206"/>
      </w:tblGrid>
      <w:tr w:rsidR="00BE508D" w:rsidRPr="002C0136" w:rsidTr="00BE508D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Одиниця виміру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Значення показника</w:t>
            </w: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Площа ділянки під будівництво,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S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д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Площа будівлі закладу,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S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заг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Коефіцієнт забудови,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К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з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Площа озеленення,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S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оз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Коефіцієнт озеленення,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К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оз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Робоча площа закладу,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S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роб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Корисна площа закладу,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S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кор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Будівельний об’єм будівлі,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lang w:val="uk-UA"/>
              </w:rPr>
              <w:t>V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  <w:vertAlign w:val="subscript"/>
                <w:lang w:val="uk-UA"/>
              </w:rPr>
              <w:t>б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м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Капітальні витрати на проекту, В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vertAlign w:val="subscript"/>
                <w:lang w:val="uk-UA"/>
              </w:rPr>
              <w:t>А+Б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тис. грн.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Питомі капітальні витрати</w:t>
            </w: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Вартість 1 місця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тис. грн.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Вартість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C0136">
                <w:rPr>
                  <w:rFonts w:ascii="Times New Roman" w:hAnsi="Times New Roman" w:cs="Times New Roman"/>
                  <w:bCs/>
                  <w:color w:val="000000"/>
                  <w:sz w:val="24"/>
                  <w:szCs w:val="28"/>
                  <w:lang w:val="uk-UA"/>
                </w:rPr>
                <w:t>1 м</w:t>
              </w:r>
              <w:r w:rsidRPr="002C0136">
                <w:rPr>
                  <w:rFonts w:ascii="Times New Roman" w:hAnsi="Times New Roman" w:cs="Times New Roman"/>
                  <w:bCs/>
                  <w:color w:val="000000"/>
                  <w:sz w:val="24"/>
                  <w:szCs w:val="28"/>
                  <w:vertAlign w:val="superscript"/>
                  <w:lang w:val="uk-UA"/>
                </w:rPr>
                <w:t>2</w:t>
              </w:r>
            </w:smartTag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 загальної площі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тис. грн.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BE508D" w:rsidRPr="002C0136" w:rsidTr="00BE50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BE5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Вартість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2C0136">
                <w:rPr>
                  <w:rFonts w:ascii="Times New Roman" w:hAnsi="Times New Roman" w:cs="Times New Roman"/>
                  <w:bCs/>
                  <w:color w:val="000000"/>
                  <w:sz w:val="24"/>
                  <w:szCs w:val="28"/>
                  <w:lang w:val="uk-UA"/>
                </w:rPr>
                <w:t>1 м</w:t>
              </w:r>
              <w:r w:rsidRPr="002C0136">
                <w:rPr>
                  <w:rFonts w:ascii="Times New Roman" w:hAnsi="Times New Roman" w:cs="Times New Roman"/>
                  <w:bCs/>
                  <w:color w:val="000000"/>
                  <w:sz w:val="24"/>
                  <w:szCs w:val="28"/>
                  <w:vertAlign w:val="superscript"/>
                  <w:lang w:val="uk-UA"/>
                </w:rPr>
                <w:t>3</w:t>
              </w:r>
            </w:smartTag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 xml:space="preserve"> об’єму будівлі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тис. грн.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</w:pPr>
          </w:p>
        </w:tc>
      </w:tr>
    </w:tbl>
    <w:p w:rsidR="00BE508D" w:rsidRPr="002C0136" w:rsidRDefault="00BE508D" w:rsidP="00BE508D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Витрати на виконання загально будівельних робіт для створення закладу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готельно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-ресторанного господарства розраховуються за укрупненим показником вартості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загальнобудівельних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робіт, 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>ЗБР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, 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тис. грн., 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визначаються за формулою 3.2.:</w:t>
      </w:r>
    </w:p>
    <w:p w:rsidR="00BE508D" w:rsidRPr="002C0136" w:rsidRDefault="00BE508D" w:rsidP="00BE508D">
      <w:pPr>
        <w:spacing w:line="240" w:lineRule="auto"/>
        <w:ind w:left="28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position w:val="-12"/>
          <w:sz w:val="28"/>
          <w:szCs w:val="28"/>
          <w:lang w:val="uk-UA"/>
        </w:rPr>
        <w:object w:dxaOrig="2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5pt;height:17.7pt" o:ole="" fillcolor="window">
            <v:imagedata r:id="rId5" o:title=""/>
          </v:shape>
          <o:OLEObject Type="Embed" ProgID="Equation.3" ShapeID="_x0000_i1025" DrawAspect="Content" ObjectID="_1738256677" r:id="rId6"/>
        </w:objec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(3.2.)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 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N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потужність проектованого закладу, місць;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Y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норматив питомої вартості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загальнобудівельних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 на одиницю потужності,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у.о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.;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К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>Т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територіальний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поправковий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коефіцієнт;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>К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–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офіційний валютний курс гривні (до USD), грн./$;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>Р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індекс цін нормативний, встановлений для визначення кошторисної вартості будівництва Держкомітетом України у справах містобудування і архітектури (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>Р</w: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=0,77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Вартість </w:t>
      </w:r>
      <w:proofErr w:type="spellStart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загальнобудівельних</w:t>
      </w:r>
      <w:proofErr w:type="spellEnd"/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робіт, </w:t>
      </w:r>
      <w:r w:rsidRPr="002C0136">
        <w:rPr>
          <w:rFonts w:ascii="Times New Roman" w:hAnsi="Times New Roman" w:cs="Times New Roman"/>
          <w:i/>
          <w:color w:val="000000"/>
          <w:position w:val="-12"/>
          <w:sz w:val="28"/>
          <w:szCs w:val="28"/>
          <w:vertAlign w:val="subscript"/>
          <w:lang w:val="uk-UA"/>
        </w:rPr>
        <w:object w:dxaOrig="480" w:dyaOrig="375">
          <v:shape id="_x0000_i1026" type="#_x0000_t75" style="width:24.35pt;height:19.95pt" o:ole="" fillcolor="window">
            <v:imagedata r:id="rId7" o:title=""/>
          </v:shape>
          <o:OLEObject Type="Embed" ProgID="Equation.3" ShapeID="_x0000_i1026" DrawAspect="Content" ObjectID="_1738256678" r:id="rId8"/>
        </w:object>
      </w:r>
      <w:r w:rsidRPr="002C013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, тис. грн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., є витратами за статтею 2.1. зведеного кошторисного розрахунку.</w:t>
      </w:r>
    </w:p>
    <w:p w:rsidR="00BE508D" w:rsidRPr="002C0136" w:rsidRDefault="00BE508D" w:rsidP="00BE508D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Таблиця 16</w:t>
      </w:r>
    </w:p>
    <w:p w:rsidR="00BE508D" w:rsidRPr="002C0136" w:rsidRDefault="00BE508D" w:rsidP="00BE508D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Зведений кошторис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189"/>
        <w:gridCol w:w="2725"/>
        <w:gridCol w:w="1984"/>
      </w:tblGrid>
      <w:tr w:rsidR="00BE508D" w:rsidRPr="002C0136" w:rsidTr="00570164">
        <w:trPr>
          <w:trHeight w:val="4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№ глав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Рекомендовані співвідношення вартості,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Розмір витрат,</w:t>
            </w:r>
          </w:p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BE508D" w:rsidRPr="002C0136" w:rsidTr="00570164">
        <w:trPr>
          <w:cantSplit/>
          <w:trHeight w:val="24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Розділ А. Базисна вартість будівництва</w:t>
            </w: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1-2 від вартості будівництва за главою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Основні об’єкти будівництва, у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.: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rPr>
          <w:trHeight w:val="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Загальнобудівельні</w:t>
            </w:r>
            <w:proofErr w:type="spellEnd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position w:val="-12"/>
                <w:sz w:val="24"/>
                <w:szCs w:val="24"/>
                <w:vertAlign w:val="subscript"/>
                <w:lang w:val="uk-UA"/>
              </w:rPr>
              <w:object w:dxaOrig="480" w:dyaOrig="375">
                <v:shape id="_x0000_i1027" type="#_x0000_t75" style="width:24.35pt;height:19.95pt" o:ole="" fillcolor="window">
                  <v:imagedata r:id="rId7" o:title=""/>
                </v:shape>
                <o:OLEObject Type="Embed" ProgID="Equation.3" ShapeID="_x0000_i1027" DrawAspect="Content" ObjectID="_1738256679" r:id="rId9"/>
              </w:object>
            </w: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Електротехнічні роботи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Сантехнічні роботи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Зв’язок та сигналізація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Устаткування, меблі та інвентар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27-30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Разом за главою 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Об’єкти підсобного та обслуговуючого призначення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 5 від глави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Об’єкти енергетичного господарства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 1 від глави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Об’єкти транспортного господарства та зв’язку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0,2-0,5 від глави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Зовнішні мережі та споруди водопостачання, каналізації, </w:t>
            </w:r>
            <w:proofErr w:type="spellStart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теплопоста-чання</w:t>
            </w:r>
            <w:proofErr w:type="spellEnd"/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та газопостачання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2-12 від глави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Благоустрій і озеленення території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1-5 від глави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Разом за главами 1-7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Тимчасові будівлі та споруди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0,5-1,5 від глав 1-7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Інші роботи та витрати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3,7-9 від глав 1-7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Утримання дирекції (технічний нагляд) об’єкта, що будується, та авторський нагляд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 від глав 1-7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Підготовка експлуатаційних кадрів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0,2-0,7 від глав 1-9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Проектні та вишукувальні роботи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2,5-8 від глав 1-7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ВСЬОГО за розділом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Розділ Б. Кошти на компенсацію витрат, пов’язаних із ринковими умовами проведення будівництва</w:t>
            </w: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Обов’язкові платежі (податки та збори)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38-60 від глав 1-9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Резервний компенсаційний фонд замовника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2-8 від суми базисної вартості (розділ 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ВСЬОГО за розділом Б</w:t>
            </w:r>
            <w:r w:rsidRPr="002C0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E508D" w:rsidRPr="002C0136" w:rsidTr="0057016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ЗАГАЛОМ СУМА ВИТРАТ НА БУДІВНИЦТВО</w:t>
            </w:r>
          </w:p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(КАПІТАЛЬНІ ВКЛАДЕННЯ), В</w:t>
            </w:r>
            <w:r w:rsidRPr="002C013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vertAlign w:val="subscript"/>
                <w:lang w:val="uk-UA"/>
              </w:rPr>
              <w:t>А+Б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D" w:rsidRPr="002C0136" w:rsidRDefault="00BE508D" w:rsidP="005701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508D" w:rsidRPr="002C0136" w:rsidRDefault="00BE508D" w:rsidP="00BE508D">
      <w:pPr>
        <w:tabs>
          <w:tab w:val="num" w:pos="540"/>
        </w:tabs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розміщення закладу в складі іншого підприємства чи будівлі або при реконструкції існуючого закладу значення В</w:t>
      </w:r>
      <w:r w:rsidRPr="002C013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А+Б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зменшується на 60</w:t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B8"/>
      </w:r>
      <w:r w:rsidRPr="002C0136">
        <w:rPr>
          <w:rFonts w:ascii="Times New Roman" w:hAnsi="Times New Roman" w:cs="Times New Roman"/>
          <w:color w:val="000000"/>
          <w:sz w:val="28"/>
          <w:szCs w:val="28"/>
          <w:lang w:val="uk-UA"/>
        </w:rPr>
        <w:t>75%.</w:t>
      </w:r>
    </w:p>
    <w:p w:rsidR="00BE508D" w:rsidRPr="002C0136" w:rsidRDefault="00BE508D" w:rsidP="00BE508D">
      <w:pPr>
        <w:numPr>
          <w:ilvl w:val="12"/>
          <w:numId w:val="0"/>
        </w:num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lastRenderedPageBreak/>
        <w:t>У бакалаврській кваліфікаційній роботі потрібно визначити порядок здачі закінченого будівництвом об'єкта залежно від обраної форми власності, його призначення та способів проведення будівельних робіт.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 xml:space="preserve">Якщо згідно з будівельним паспортом передбачено будівництво кількох об’єктів, кожен з них можна прийняти в експлуатацію окремо. 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>На об’єкті повинні бути виконані всі передбачені проектною документацією згідно із державними будівельними нормами, стандартами і правилами роботи, а також змонтовано і випробуване обладнання.</w:t>
      </w:r>
    </w:p>
    <w:p w:rsidR="00BE508D" w:rsidRPr="002C0136" w:rsidRDefault="00BE508D" w:rsidP="00BE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sz w:val="28"/>
          <w:szCs w:val="28"/>
          <w:lang w:val="uk-UA"/>
        </w:rPr>
        <w:t>Експлуатація об’єктів не прийнятих в експлуатацію, забороняється.</w:t>
      </w:r>
    </w:p>
    <w:p w:rsidR="00BE508D" w:rsidRPr="002C0136" w:rsidRDefault="00BE508D" w:rsidP="00BE508D">
      <w:pPr>
        <w:numPr>
          <w:ilvl w:val="12"/>
          <w:numId w:val="0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69D" w:rsidRPr="002C0136" w:rsidRDefault="002C0136" w:rsidP="002C01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3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Приклад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36">
        <w:rPr>
          <w:rFonts w:ascii="Times New Roman" w:hAnsi="Times New Roman"/>
          <w:b/>
          <w:sz w:val="28"/>
          <w:szCs w:val="28"/>
          <w:lang w:val="uk-UA"/>
        </w:rPr>
        <w:t>Дизайн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Дизайнерським стилем проектованого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чотирьохзіркового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>», обрано стиль класицизм або ж класичний стиль.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Головною складовою класичного стилю являється симетричність пропорцій та завершеність композицій. Використовуючи класичний стиль можна  підкреслити статус гостей готелю, </w:t>
      </w:r>
      <w:r>
        <w:rPr>
          <w:rFonts w:ascii="Times New Roman" w:hAnsi="Times New Roman"/>
          <w:sz w:val="28"/>
          <w:szCs w:val="28"/>
          <w:lang w:val="uk-UA"/>
        </w:rPr>
        <w:t>робиться наголос на вишуканість</w:t>
      </w:r>
      <w:r w:rsidRPr="002C0136">
        <w:rPr>
          <w:rFonts w:ascii="Times New Roman" w:hAnsi="Times New Roman"/>
          <w:sz w:val="28"/>
          <w:szCs w:val="28"/>
          <w:lang w:val="uk-UA"/>
        </w:rPr>
        <w:t>.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Основними кольорами класичного стилю у проектованому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альпготелі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» будуть пастельні кольори теплих відтінків, а саме колір слонової кістки, кремовий, пісочний, оливковий, відтінки коричневого. Обов’язковими атрибутами класичного стилю являються узорні карнизи, портали, вітражі, килими, картини, скульптури, колони, венеціанка на стінах. 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Меблі вишукані та елегантні, використання строгих форм, різьблення. Переважна більшість меблів у номерах проектованого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та приміщеннях буде покрита світлим лаком, інша частина навмисно буде виконана в темніших тонах для контрасту.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>Підлога буде покрита паркетом з чітким геометричним візерунком. Стелі будуть досить високими, білими, прикрашеними ліпниною. У стандартних номерах стіни будуть гладкими однотонними, у номерах типу люкс будуть  обклеєні шпалерами з нейтральним візерунком.</w:t>
      </w:r>
    </w:p>
    <w:p w:rsidR="002C0136" w:rsidRPr="002C0136" w:rsidRDefault="002C0136" w:rsidP="002C01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Двері та вікна в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проектованоу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альпготелі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будуть дерев’яні. Двері прямокутні,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філенчаті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. На вікнах будуть складні драпіровані штори. Особливістю номерів типу люкс буде люстра з позолотою, у стандартних номерах люстра це буде люстра із скла. Дзеркала будуть розміщені у всіх кімнатах в з позолоченими рамами, що візуально збільшують простір.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При проектованому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чотирьохзірковому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альпготелі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>» будуть розміщені також бар при басейні, кафе-кондитерська, ресторан, більярдна, кінозал, конференц-зала, сауна та інші додаткові послуги з організації дозвілля.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Будівельно-технічні показники проекту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="00160C8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представлено в табл. 3</w:t>
      </w:r>
      <w:r w:rsidRPr="002C0136">
        <w:rPr>
          <w:rFonts w:ascii="Times New Roman" w:hAnsi="Times New Roman"/>
          <w:sz w:val="28"/>
          <w:szCs w:val="28"/>
          <w:lang w:val="uk-UA"/>
        </w:rPr>
        <w:t>.4.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i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i/>
          <w:sz w:val="28"/>
          <w:szCs w:val="28"/>
          <w:lang w:val="uk-UA"/>
        </w:rPr>
        <w:t>3</w:t>
      </w:r>
      <w:r w:rsidRPr="002C0136">
        <w:rPr>
          <w:rFonts w:ascii="Times New Roman" w:hAnsi="Times New Roman"/>
          <w:i/>
          <w:sz w:val="28"/>
          <w:szCs w:val="28"/>
          <w:lang w:val="uk-UA"/>
        </w:rPr>
        <w:t>.4.</w:t>
      </w:r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hAnsi="Times New Roman"/>
          <w:b/>
          <w:sz w:val="28"/>
          <w:szCs w:val="28"/>
          <w:lang w:val="uk-UA"/>
        </w:rPr>
        <w:t>Будівельно-технічні показники проекту</w:t>
      </w:r>
    </w:p>
    <w:tbl>
      <w:tblPr>
        <w:tblW w:w="9106" w:type="dxa"/>
        <w:tblInd w:w="98" w:type="dxa"/>
        <w:tblLook w:val="04A0" w:firstRow="1" w:lastRow="0" w:firstColumn="1" w:lastColumn="0" w:noHBand="0" w:noVBand="1"/>
      </w:tblPr>
      <w:tblGrid>
        <w:gridCol w:w="710"/>
        <w:gridCol w:w="4822"/>
        <w:gridCol w:w="1410"/>
        <w:gridCol w:w="2164"/>
      </w:tblGrid>
      <w:tr w:rsidR="002C0136" w:rsidRPr="002C0136" w:rsidTr="002C0136">
        <w:trPr>
          <w:trHeight w:val="10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№ пор.</w:t>
            </w:r>
          </w:p>
        </w:tc>
        <w:tc>
          <w:tcPr>
            <w:tcW w:w="4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Найменування показника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Значення показника</w:t>
            </w:r>
          </w:p>
        </w:tc>
      </w:tr>
      <w:tr w:rsidR="002C0136" w:rsidRPr="002C0136" w:rsidTr="002C0136">
        <w:trPr>
          <w:trHeight w:val="10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</w:t>
            </w:r>
          </w:p>
        </w:tc>
        <w:tc>
          <w:tcPr>
            <w:tcW w:w="4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4</w:t>
            </w:r>
          </w:p>
        </w:tc>
      </w:tr>
      <w:tr w:rsidR="002C0136" w:rsidRPr="002C0136" w:rsidTr="002C0136">
        <w:trPr>
          <w:trHeight w:val="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Площа ділянки під будівництво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rPr>
          <w:trHeight w:val="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Площа будівлі закладу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rPr>
          <w:trHeight w:val="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Коефіцієнт забудови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rPr>
          <w:trHeight w:val="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Площа озеленення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5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Коефіцієнт озеленення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6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Загальна площа закладу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7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Корисна площа закладу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8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Будівельний обсяг закладу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3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9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Вартість будівництва (капітальні вкладення), ВА+Б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тис. грн.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9106" w:type="dxa"/>
            <w:gridSpan w:val="4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Питомі показники вартості будівництва</w:t>
            </w: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10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Вартість 1 місця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тис. грн.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11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Вартість 1 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2</w:t>
            </w: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 xml:space="preserve"> загальної площі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тис. грн.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71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12</w:t>
            </w:r>
          </w:p>
        </w:tc>
        <w:tc>
          <w:tcPr>
            <w:tcW w:w="4822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Вартість 1 м</w:t>
            </w:r>
            <w:r w:rsidRPr="002C0136">
              <w:rPr>
                <w:rFonts w:ascii="Times New Roman" w:hAnsi="Times New Roman"/>
                <w:szCs w:val="24"/>
                <w:vertAlign w:val="superscript"/>
                <w:lang w:val="uk-UA" w:eastAsia="uk-UA"/>
              </w:rPr>
              <w:t>3</w:t>
            </w: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 xml:space="preserve"> об’єму будівлі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тис. грн.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</w:tbl>
    <w:p w:rsidR="002C0136" w:rsidRPr="002C0136" w:rsidRDefault="002C0136" w:rsidP="002C0136">
      <w:pPr>
        <w:tabs>
          <w:tab w:val="left" w:pos="4060"/>
        </w:tabs>
        <w:spacing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36">
        <w:rPr>
          <w:rFonts w:ascii="Times New Roman" w:hAnsi="Times New Roman"/>
          <w:b/>
          <w:sz w:val="28"/>
          <w:szCs w:val="28"/>
          <w:lang w:val="uk-UA"/>
        </w:rPr>
        <w:t>Кошторис</w:t>
      </w:r>
      <w:r w:rsidRPr="002C0136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Попередню вартість будівництва проектованого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чотирьохзіркового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>» розрахуємо за укрупненими показниками вартості проведених робіт</w:t>
      </w:r>
      <w:r>
        <w:rPr>
          <w:rFonts w:ascii="Times New Roman" w:hAnsi="Times New Roman"/>
          <w:sz w:val="28"/>
          <w:szCs w:val="28"/>
          <w:lang w:val="uk-UA"/>
        </w:rPr>
        <w:t>, за формулою</w:t>
      </w:r>
      <w:r w:rsidRPr="002C0136">
        <w:rPr>
          <w:rFonts w:ascii="Times New Roman" w:hAnsi="Times New Roman"/>
          <w:sz w:val="28"/>
          <w:szCs w:val="28"/>
          <w:lang w:val="uk-UA"/>
        </w:rPr>
        <w:t>: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position w:val="-6"/>
          <w:sz w:val="28"/>
          <w:szCs w:val="28"/>
          <w:lang w:val="uk-UA"/>
        </w:rPr>
        <w:object w:dxaOrig="2780" w:dyaOrig="279">
          <v:shape id="_x0000_i1028" type="#_x0000_t75" style="width:235.95pt;height:22.15pt" o:ole="" fillcolor="window">
            <v:imagedata r:id="rId10" o:title=""/>
          </v:shape>
          <o:OLEObject Type="Embed" ProgID="Equation.3" ShapeID="_x0000_i1028" DrawAspect="Content" ObjectID="_1738256680" r:id="rId11"/>
        </w:objec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>де В</w:t>
      </w:r>
      <w:r w:rsidRPr="002C0136">
        <w:rPr>
          <w:rFonts w:ascii="Times New Roman" w:hAnsi="Times New Roman"/>
          <w:sz w:val="28"/>
          <w:szCs w:val="28"/>
          <w:vertAlign w:val="subscript"/>
          <w:lang w:val="uk-UA"/>
        </w:rPr>
        <w:t>ЗБР</w:t>
      </w:r>
      <w:r w:rsidRPr="002C0136">
        <w:rPr>
          <w:rFonts w:ascii="Times New Roman" w:hAnsi="Times New Roman"/>
          <w:sz w:val="28"/>
          <w:szCs w:val="28"/>
          <w:lang w:val="uk-UA"/>
        </w:rPr>
        <w:t xml:space="preserve"> – вартість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загальнобудівельних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робіт, тис. грн;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Sзаг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– загальна площа проектованого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;                                           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Y– норматив питомої вартості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загальнобудівельних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робіт на одиницю пот</w:t>
      </w:r>
      <w:r>
        <w:rPr>
          <w:rFonts w:ascii="Times New Roman" w:hAnsi="Times New Roman"/>
          <w:sz w:val="28"/>
          <w:szCs w:val="28"/>
          <w:lang w:val="uk-UA"/>
        </w:rPr>
        <w:t xml:space="preserve">ужності,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(довідкова сума)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КТ – територіальний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поправковий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коефіцієнт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>ІК – офіційний валютний курс гривні (до USD), грн./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дол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ІР – індекс цін нормативний, встановлений для визначення кошторисної вартості будівництва (ІР=0,77).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Зведений кошторис будівництва проектованого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чотирьохзіркового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» представимо в табл.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C0136">
        <w:rPr>
          <w:rFonts w:ascii="Times New Roman" w:hAnsi="Times New Roman"/>
          <w:sz w:val="28"/>
          <w:szCs w:val="28"/>
          <w:lang w:val="uk-UA"/>
        </w:rPr>
        <w:t>.5.</w:t>
      </w:r>
    </w:p>
    <w:p w:rsidR="002C0136" w:rsidRPr="002C0136" w:rsidRDefault="002C0136" w:rsidP="002C0136">
      <w:pPr>
        <w:tabs>
          <w:tab w:val="left" w:pos="4060"/>
        </w:tabs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0136">
        <w:rPr>
          <w:rFonts w:ascii="Times New Roman" w:hAnsi="Times New Roman"/>
          <w:i/>
          <w:sz w:val="28"/>
          <w:szCs w:val="28"/>
          <w:lang w:val="uk-UA"/>
        </w:rPr>
        <w:t>Таблиця 3.5.</w:t>
      </w:r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hAnsi="Times New Roman"/>
          <w:b/>
          <w:sz w:val="28"/>
          <w:szCs w:val="28"/>
          <w:lang w:val="uk-UA"/>
        </w:rPr>
        <w:t>Зведений кошторисний розрахунок</w:t>
      </w:r>
    </w:p>
    <w:tbl>
      <w:tblPr>
        <w:tblW w:w="9258" w:type="dxa"/>
        <w:tblInd w:w="78" w:type="dxa"/>
        <w:tblLook w:val="04A0" w:firstRow="1" w:lastRow="0" w:firstColumn="1" w:lastColumn="0" w:noHBand="0" w:noVBand="1"/>
      </w:tblPr>
      <w:tblGrid>
        <w:gridCol w:w="10"/>
        <w:gridCol w:w="980"/>
        <w:gridCol w:w="2871"/>
        <w:gridCol w:w="137"/>
        <w:gridCol w:w="3294"/>
        <w:gridCol w:w="1966"/>
      </w:tblGrid>
      <w:tr w:rsidR="002C0136" w:rsidRPr="002C0136" w:rsidTr="002C0136">
        <w:trPr>
          <w:trHeight w:val="22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№ розділу</w:t>
            </w:r>
          </w:p>
        </w:tc>
        <w:tc>
          <w:tcPr>
            <w:tcW w:w="3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Стаття витрат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Рекомендовані співвідношення вартості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Розмір витрат, тис. грн.</w:t>
            </w:r>
          </w:p>
        </w:tc>
      </w:tr>
      <w:tr w:rsidR="002C0136" w:rsidRPr="002C0136" w:rsidTr="002C0136">
        <w:trPr>
          <w:trHeight w:val="22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</w:t>
            </w:r>
          </w:p>
        </w:tc>
        <w:tc>
          <w:tcPr>
            <w:tcW w:w="3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4</w:t>
            </w:r>
          </w:p>
        </w:tc>
      </w:tr>
      <w:tr w:rsidR="002C0136" w:rsidRPr="002C0136" w:rsidTr="002C0136">
        <w:trPr>
          <w:trHeight w:val="76"/>
        </w:trPr>
        <w:tc>
          <w:tcPr>
            <w:tcW w:w="9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Розділ А. Базисна вартість будівництва</w:t>
            </w: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</w:t>
            </w:r>
          </w:p>
        </w:tc>
        <w:tc>
          <w:tcPr>
            <w:tcW w:w="3008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Підготовка території будівництва</w:t>
            </w:r>
          </w:p>
        </w:tc>
        <w:tc>
          <w:tcPr>
            <w:tcW w:w="3294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1% від вартості будівництва за разом підрозділом 2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90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8268" w:type="dxa"/>
            <w:gridSpan w:val="4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Основні об’єкти будівництва, у </w:t>
            </w:r>
            <w:proofErr w:type="spellStart"/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т.ч</w:t>
            </w:r>
            <w:proofErr w:type="spellEnd"/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.</w:t>
            </w: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02.Січ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proofErr w:type="spellStart"/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загальнобудівельні</w:t>
            </w:r>
            <w:proofErr w:type="spellEnd"/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 xml:space="preserve"> роботи 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60%, разом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 xml:space="preserve">електротехнічні 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6%, разом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 xml:space="preserve">сантехнічні 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5%, разом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зв’язок та сигналізація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2%, разом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устаткування, меблі та інвентар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27%, разом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385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Разом за підрозділом 2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100%,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Об’єкти підсобного та обслуговуючого призначення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до 1%,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4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Об’єкти енергетичного господарства</w:t>
            </w:r>
          </w:p>
        </w:tc>
        <w:tc>
          <w:tcPr>
            <w:tcW w:w="3431" w:type="dxa"/>
            <w:gridSpan w:val="2"/>
            <w:shd w:val="clear" w:color="auto" w:fill="auto"/>
            <w:noWrap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до 0,5%,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Об’єкти транспортного господарства та зв’язку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0,20%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140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6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Зовнішні мережі та споруди водопостачання, каналізації, теплопостачання та газопостачання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2%,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7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Благоустрій і озеленення території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3%, підрозділ 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Разом за підрозділами 1–7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8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Тимчасові будівлі та споруди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0,5%, сума за підрозділами 1–7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9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Інші роботи та витрати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3,7%, сума за підрозділами 1–7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Разом за підрозділами 1–9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10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Утримання дирекції (технічний нагляд) об’єкта, що будується, та авторський нагляд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2%, сума за підрозділами 1–7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11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Підготовка експлуатаційних кадрів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0,2%, сума за підрозділами 1–9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Проектні та вишукувальні роботи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2,5%, сума за підрозділами 1–7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39"/>
        </w:trPr>
        <w:tc>
          <w:tcPr>
            <w:tcW w:w="980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Усього: Базисна вартість будівництва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248" w:type="dxa"/>
            <w:gridSpan w:val="5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Розділ Б. Кошти на компенсацію витрат, пов’язаних з ринковими умовами проведення будівництва</w:t>
            </w: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5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1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Обов’язкові платежі (податки та збори)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38%,сума за підрозділами 1–9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980" w:type="dxa"/>
            <w:shd w:val="clear" w:color="auto" w:fill="auto"/>
            <w:vAlign w:val="center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</w:t>
            </w:r>
          </w:p>
        </w:tc>
        <w:tc>
          <w:tcPr>
            <w:tcW w:w="2871" w:type="dxa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Резервний компенсаційний фонд замовника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2% від суми базисної вартості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7282" w:type="dxa"/>
            <w:gridSpan w:val="4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Усього за розділом Б: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  <w:tr w:rsidR="002C0136" w:rsidRPr="002C0136" w:rsidTr="002C0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86"/>
        </w:trPr>
        <w:tc>
          <w:tcPr>
            <w:tcW w:w="385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Загалом сума витрат на будівництво</w:t>
            </w:r>
          </w:p>
        </w:tc>
        <w:tc>
          <w:tcPr>
            <w:tcW w:w="3431" w:type="dxa"/>
            <w:gridSpan w:val="2"/>
            <w:shd w:val="clear" w:color="auto" w:fill="auto"/>
            <w:hideMark/>
          </w:tcPr>
          <w:p w:rsidR="002C0136" w:rsidRPr="002C0136" w:rsidRDefault="002C0136" w:rsidP="00570164">
            <w:pPr>
              <w:spacing w:line="240" w:lineRule="auto"/>
              <w:contextualSpacing/>
              <w:rPr>
                <w:rFonts w:ascii="Times New Roman" w:hAnsi="Times New Roman"/>
                <w:szCs w:val="24"/>
                <w:lang w:val="uk-UA" w:eastAsia="uk-UA"/>
              </w:rPr>
            </w:pPr>
            <w:r w:rsidRPr="002C0136">
              <w:rPr>
                <w:rFonts w:ascii="Times New Roman" w:hAnsi="Times New Roman"/>
                <w:szCs w:val="24"/>
                <w:lang w:val="uk-UA" w:eastAsia="uk-UA"/>
              </w:rPr>
              <w:t>ВА + Б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C0136" w:rsidRPr="002C0136" w:rsidRDefault="002C0136" w:rsidP="005701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</w:tr>
    </w:tbl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Отже, загальна сума витрат на будівництво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чотирьохзіркового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альпготелю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» дорівнює </w:t>
      </w:r>
      <w:r>
        <w:rPr>
          <w:rFonts w:ascii="Times New Roman" w:hAnsi="Times New Roman"/>
          <w:sz w:val="28"/>
          <w:szCs w:val="28"/>
          <w:lang w:val="uk-UA"/>
        </w:rPr>
        <w:t>…………………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36">
        <w:rPr>
          <w:rFonts w:ascii="Times New Roman" w:hAnsi="Times New Roman"/>
          <w:b/>
          <w:sz w:val="28"/>
          <w:szCs w:val="28"/>
          <w:lang w:val="uk-UA"/>
        </w:rPr>
        <w:t>Порядок здачі в експлуатацію об’єкта</w:t>
      </w:r>
      <w:r w:rsidRPr="002C0136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Проектований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чотирьохзірковий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альпготель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0136">
        <w:rPr>
          <w:rFonts w:ascii="Times New Roman" w:eastAsia="Calibri" w:hAnsi="Times New Roman"/>
          <w:sz w:val="28"/>
          <w:szCs w:val="28"/>
          <w:lang w:val="uk-UA"/>
        </w:rPr>
        <w:t>«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Asgard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0136">
        <w:rPr>
          <w:rFonts w:ascii="Times New Roman" w:hAnsi="Times New Roman"/>
          <w:sz w:val="28"/>
          <w:szCs w:val="28"/>
          <w:lang w:val="uk-UA"/>
        </w:rPr>
        <w:t>Resort</w:t>
      </w:r>
      <w:proofErr w:type="spellEnd"/>
      <w:r w:rsidRPr="002C0136">
        <w:rPr>
          <w:rFonts w:ascii="Times New Roman" w:hAnsi="Times New Roman"/>
          <w:sz w:val="28"/>
          <w:szCs w:val="28"/>
          <w:lang w:val="uk-UA"/>
        </w:rPr>
        <w:t>» буде підприємством приватної форми власності. Відповідно до вимог у ДБН А.3.1-3-94 «Прийняття в експлуатацію закінчених будівництвом об'єктів. Основні положення» порядок прийняття в експлуатацію закінчених будівництвом об'єкту встановлюється Міською    державною    адміністрацією   міста за погодженням  із  Державним  комітетом  будівництва,  архітектури та житлової політики України. Даний об'єкт буде прийматися у експлуатацію за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державних технічних комісій</w:t>
      </w:r>
      <w:r w:rsidRPr="002C0136">
        <w:rPr>
          <w:rFonts w:ascii="Times New Roman" w:hAnsi="Times New Roman"/>
          <w:sz w:val="28"/>
          <w:szCs w:val="28"/>
          <w:lang w:val="uk-UA"/>
        </w:rPr>
        <w:t>. Державна технічна  комісія буде призначатися виконавчим   органом  міста  і розпочинатиме свою роботу не  пізніше ніж  за  7  днів  після отримання заяви замовника про закінчення  будівництва  та  готовність  об'єкту  до  прийняття  у експлуатацію.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 xml:space="preserve">Термін  роботи державної технічної комісії визначається органом, який її призначає, однак він не повинен перевищувати термін у 10 днів.  Протягом цього часу  члени  комісії мають  ознайомитись  із проектною   документацією,  перевірити  відповідність  забудови  розробленому проекту та технічні умови </w:t>
      </w:r>
      <w:r w:rsidRPr="002C0136">
        <w:rPr>
          <w:rFonts w:ascii="Times New Roman" w:hAnsi="Times New Roman"/>
          <w:sz w:val="28"/>
          <w:szCs w:val="28"/>
          <w:lang w:val="uk-UA"/>
        </w:rPr>
        <w:lastRenderedPageBreak/>
        <w:t xml:space="preserve">на проектування. Члени комісії не мають права ставити  додаткові  вимоги,  крім  тих, що є передбаченими  виданими технічними умовами на  проектування.  </w:t>
      </w:r>
    </w:p>
    <w:p w:rsidR="002C0136" w:rsidRPr="002C0136" w:rsidRDefault="002C0136" w:rsidP="002C0136">
      <w:pPr>
        <w:tabs>
          <w:tab w:val="left" w:pos="40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36">
        <w:rPr>
          <w:rFonts w:ascii="Times New Roman" w:hAnsi="Times New Roman"/>
          <w:sz w:val="28"/>
          <w:szCs w:val="28"/>
          <w:lang w:val="uk-UA"/>
        </w:rPr>
        <w:t>За результатами роботи  державної  технічної  комісії складається підписаний акт державної технічної комісії,  в  якому  є прийнятим  рішення про введення забудованого об'єкта  в експлуатацію. Підписаний  та  затверджений  акт  державної технічної комісії  стає  підставою  для  включення  даних  про  його введення в державну  статистичну  звітність України,  а  також  для  оформлення права власності на новий збудований об'єкт</w:t>
      </w:r>
    </w:p>
    <w:p w:rsidR="002C0136" w:rsidRPr="002C0136" w:rsidRDefault="002C0136" w:rsidP="002C013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C0136" w:rsidRPr="002C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E2E2E"/>
    <w:multiLevelType w:val="hybridMultilevel"/>
    <w:tmpl w:val="8FD206A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7"/>
    <w:rsid w:val="00160C87"/>
    <w:rsid w:val="00207FE7"/>
    <w:rsid w:val="002C0136"/>
    <w:rsid w:val="0080469D"/>
    <w:rsid w:val="00984332"/>
    <w:rsid w:val="00B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B04A6-D78E-444F-BB16-62FFB2D0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2023-02-18T16:36:00Z</dcterms:created>
  <dcterms:modified xsi:type="dcterms:W3CDTF">2023-02-18T18:17:00Z</dcterms:modified>
</cp:coreProperties>
</file>