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2B03A" w14:textId="3C1FD8A5" w:rsidR="00B07EE2" w:rsidRDefault="00B07EE2" w:rsidP="00B07EE2">
      <w:pPr>
        <w:pStyle w:val="30"/>
        <w:shd w:val="clear" w:color="auto" w:fill="auto"/>
        <w:spacing w:before="0"/>
        <w:ind w:firstLine="0"/>
        <w:jc w:val="center"/>
        <w:rPr>
          <w:color w:val="000000"/>
          <w:sz w:val="24"/>
          <w:szCs w:val="24"/>
          <w:lang w:val="uk-UA" w:eastAsia="uk-UA" w:bidi="uk-UA"/>
        </w:rPr>
      </w:pPr>
      <w:r w:rsidRPr="003E784E">
        <w:rPr>
          <w:color w:val="000000"/>
          <w:sz w:val="24"/>
          <w:szCs w:val="24"/>
          <w:lang w:val="uk-UA" w:eastAsia="uk-UA" w:bidi="uk-UA"/>
        </w:rPr>
        <w:t>ОРГАНІЗАЦІЯ ЛАБОРАТОРНИХ РОБІТ</w:t>
      </w:r>
    </w:p>
    <w:p w14:paraId="2CC706B0" w14:textId="77777777" w:rsidR="00B07EE2" w:rsidRPr="003E784E" w:rsidRDefault="00B07EE2" w:rsidP="00B07EE2">
      <w:pPr>
        <w:pStyle w:val="30"/>
        <w:shd w:val="clear" w:color="auto" w:fill="auto"/>
        <w:spacing w:before="0"/>
        <w:ind w:firstLine="0"/>
        <w:jc w:val="center"/>
        <w:rPr>
          <w:sz w:val="24"/>
          <w:szCs w:val="24"/>
        </w:rPr>
      </w:pPr>
    </w:p>
    <w:p w14:paraId="115F99DC" w14:textId="77777777" w:rsidR="00B07EE2" w:rsidRPr="002F3576" w:rsidRDefault="00B07EE2" w:rsidP="00B07EE2">
      <w:pPr>
        <w:pStyle w:val="40"/>
        <w:shd w:val="clear" w:color="auto" w:fill="auto"/>
        <w:ind w:right="220" w:firstLine="0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 w:eastAsia="uk-UA" w:bidi="uk-UA"/>
        </w:rPr>
        <w:t>Загальні  для усіх робіт питання викладені в першому пункті. В наступних</w:t>
      </w:r>
      <w:r w:rsidRPr="002F3576">
        <w:rPr>
          <w:color w:val="000000"/>
          <w:sz w:val="24"/>
          <w:szCs w:val="24"/>
          <w:lang w:val="uk-UA" w:eastAsia="uk-UA" w:bidi="uk-UA"/>
        </w:rPr>
        <w:t xml:space="preserve"> пун</w:t>
      </w:r>
      <w:r>
        <w:rPr>
          <w:color w:val="000000"/>
          <w:sz w:val="24"/>
          <w:szCs w:val="24"/>
          <w:lang w:val="uk-UA" w:eastAsia="uk-UA" w:bidi="uk-UA"/>
        </w:rPr>
        <w:t xml:space="preserve">ктах наведені головні свідчення: </w:t>
      </w:r>
      <w:r w:rsidRPr="002F3576">
        <w:rPr>
          <w:color w:val="000000"/>
          <w:sz w:val="24"/>
          <w:szCs w:val="24"/>
          <w:lang w:val="uk-UA" w:eastAsia="uk-UA" w:bidi="uk-UA"/>
        </w:rPr>
        <w:t>н</w:t>
      </w:r>
      <w:r>
        <w:rPr>
          <w:color w:val="000000"/>
          <w:sz w:val="24"/>
          <w:szCs w:val="24"/>
          <w:lang w:val="uk-UA" w:eastAsia="uk-UA" w:bidi="uk-UA"/>
        </w:rPr>
        <w:t>ормативи, необхідні для виконання  конкрет</w:t>
      </w:r>
      <w:r w:rsidRPr="002F3576">
        <w:rPr>
          <w:color w:val="000000"/>
          <w:sz w:val="24"/>
          <w:szCs w:val="24"/>
          <w:lang w:val="uk-UA" w:eastAsia="uk-UA" w:bidi="uk-UA"/>
        </w:rPr>
        <w:t>ної роботи.</w:t>
      </w:r>
    </w:p>
    <w:p w14:paraId="1B9E4472" w14:textId="77777777" w:rsidR="00B07EE2" w:rsidRPr="002F3576" w:rsidRDefault="00B07EE2" w:rsidP="00B07EE2">
      <w:pPr>
        <w:pStyle w:val="40"/>
        <w:shd w:val="clear" w:color="auto" w:fill="auto"/>
        <w:ind w:firstLine="708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val="uk-UA" w:eastAsia="uk-UA" w:bidi="uk-UA"/>
        </w:rPr>
        <w:t>1.1. Мет</w:t>
      </w:r>
      <w:r w:rsidRPr="002F3576">
        <w:rPr>
          <w:color w:val="000000"/>
          <w:sz w:val="24"/>
          <w:szCs w:val="24"/>
          <w:lang w:val="uk-UA" w:eastAsia="uk-UA" w:bidi="uk-UA"/>
        </w:rPr>
        <w:t>а робіт.</w:t>
      </w:r>
    </w:p>
    <w:p w14:paraId="21B493BF" w14:textId="77777777" w:rsidR="00B07EE2" w:rsidRPr="004E36C7" w:rsidRDefault="00B07EE2" w:rsidP="00B07EE2">
      <w:pPr>
        <w:pStyle w:val="40"/>
        <w:shd w:val="clear" w:color="auto" w:fill="auto"/>
        <w:ind w:right="220" w:firstLine="0"/>
        <w:rPr>
          <w:color w:val="000000"/>
          <w:sz w:val="24"/>
          <w:szCs w:val="24"/>
          <w:lang w:val="uk-UA" w:eastAsia="uk-UA" w:bidi="uk-UA"/>
        </w:rPr>
      </w:pPr>
      <w:r>
        <w:rPr>
          <w:color w:val="000000"/>
          <w:sz w:val="24"/>
          <w:szCs w:val="24"/>
          <w:lang w:val="uk-UA" w:eastAsia="uk-UA" w:bidi="uk-UA"/>
        </w:rPr>
        <w:t>Закріплення і поглиблення</w:t>
      </w:r>
      <w:r w:rsidRPr="002F3576">
        <w:rPr>
          <w:color w:val="000000"/>
          <w:sz w:val="24"/>
          <w:szCs w:val="24"/>
          <w:lang w:val="uk-UA" w:eastAsia="uk-UA" w:bidi="uk-UA"/>
        </w:rPr>
        <w:t xml:space="preserve"> теоретичних знань, набут</w:t>
      </w:r>
      <w:r>
        <w:rPr>
          <w:color w:val="000000"/>
          <w:sz w:val="24"/>
          <w:szCs w:val="24"/>
          <w:lang w:val="uk-UA" w:eastAsia="uk-UA" w:bidi="uk-UA"/>
        </w:rPr>
        <w:t xml:space="preserve">тя практичних навичок роботи із </w:t>
      </w:r>
      <w:r w:rsidRPr="002F3576">
        <w:rPr>
          <w:color w:val="000000"/>
          <w:sz w:val="24"/>
          <w:szCs w:val="24"/>
          <w:lang w:val="uk-UA" w:eastAsia="uk-UA" w:bidi="uk-UA"/>
        </w:rPr>
        <w:t xml:space="preserve">обладнанням, </w:t>
      </w:r>
      <w:r>
        <w:rPr>
          <w:color w:val="000000"/>
          <w:sz w:val="24"/>
          <w:szCs w:val="24"/>
          <w:lang w:val="uk-UA" w:eastAsia="uk-UA" w:bidi="uk-UA"/>
        </w:rPr>
        <w:t>пристроями</w:t>
      </w:r>
      <w:r w:rsidRPr="002F3576">
        <w:rPr>
          <w:color w:val="000000"/>
          <w:sz w:val="24"/>
          <w:szCs w:val="24"/>
          <w:lang w:val="uk-UA" w:eastAsia="uk-UA" w:bidi="uk-UA"/>
        </w:rPr>
        <w:t xml:space="preserve"> та інструментами для</w:t>
      </w:r>
      <w:r>
        <w:rPr>
          <w:color w:val="000000"/>
          <w:sz w:val="24"/>
          <w:szCs w:val="24"/>
          <w:lang w:val="uk-UA" w:eastAsia="uk-UA" w:bidi="uk-UA"/>
        </w:rPr>
        <w:t xml:space="preserve"> контролю деталей, використання карт технічних вимог на дефекацію, карт технологічних процесів відновлення деталей,</w:t>
      </w:r>
      <w:r w:rsidRPr="002F3576">
        <w:rPr>
          <w:color w:val="000000"/>
          <w:sz w:val="24"/>
          <w:szCs w:val="24"/>
          <w:lang w:val="uk-UA" w:eastAsia="uk-UA" w:bidi="uk-UA"/>
        </w:rPr>
        <w:t xml:space="preserve"> інструкцій </w:t>
      </w:r>
      <w:r>
        <w:rPr>
          <w:color w:val="000000"/>
          <w:sz w:val="24"/>
          <w:szCs w:val="24"/>
          <w:lang w:val="uk-UA" w:eastAsia="uk-UA" w:bidi="uk-UA"/>
        </w:rPr>
        <w:t>по капітальному</w:t>
      </w:r>
      <w:r w:rsidRPr="002F3576">
        <w:rPr>
          <w:color w:val="000000"/>
          <w:sz w:val="24"/>
          <w:szCs w:val="24"/>
          <w:lang w:val="uk-UA" w:eastAsia="uk-UA" w:bidi="uk-UA"/>
        </w:rPr>
        <w:t xml:space="preserve"> ре</w:t>
      </w:r>
      <w:r>
        <w:rPr>
          <w:color w:val="000000"/>
          <w:sz w:val="24"/>
          <w:szCs w:val="24"/>
          <w:lang w:val="uk-UA" w:eastAsia="uk-UA" w:bidi="uk-UA"/>
        </w:rPr>
        <w:t>монту машин</w:t>
      </w:r>
      <w:r w:rsidRPr="002F3576">
        <w:rPr>
          <w:color w:val="000000"/>
          <w:sz w:val="24"/>
          <w:szCs w:val="24"/>
          <w:lang w:val="uk-UA" w:eastAsia="uk-UA" w:bidi="uk-UA"/>
        </w:rPr>
        <w:t>, та інше...</w:t>
      </w:r>
    </w:p>
    <w:p w14:paraId="2794C10F" w14:textId="77777777" w:rsidR="00B07EE2" w:rsidRDefault="00B07EE2" w:rsidP="00B07EE2">
      <w:pPr>
        <w:pStyle w:val="40"/>
        <w:shd w:val="clear" w:color="auto" w:fill="auto"/>
        <w:ind w:firstLine="708"/>
        <w:jc w:val="left"/>
        <w:rPr>
          <w:color w:val="000000"/>
          <w:sz w:val="24"/>
          <w:szCs w:val="24"/>
          <w:lang w:val="uk-UA" w:eastAsia="uk-UA" w:bidi="uk-UA"/>
        </w:rPr>
      </w:pPr>
      <w:r>
        <w:rPr>
          <w:color w:val="000000"/>
          <w:sz w:val="24"/>
          <w:szCs w:val="24"/>
          <w:lang w:val="uk-UA" w:eastAsia="uk-UA" w:bidi="uk-UA"/>
        </w:rPr>
        <w:t xml:space="preserve">1.2. Організаційно-методичні </w:t>
      </w:r>
      <w:r w:rsidRPr="002F3576">
        <w:rPr>
          <w:color w:val="000000"/>
          <w:sz w:val="24"/>
          <w:szCs w:val="24"/>
          <w:lang w:val="uk-UA" w:eastAsia="uk-UA" w:bidi="uk-UA"/>
        </w:rPr>
        <w:t>вказівки</w:t>
      </w:r>
      <w:r>
        <w:rPr>
          <w:color w:val="000000"/>
          <w:sz w:val="24"/>
          <w:szCs w:val="24"/>
          <w:lang w:val="uk-UA" w:eastAsia="uk-UA" w:bidi="uk-UA"/>
        </w:rPr>
        <w:t>.</w:t>
      </w:r>
    </w:p>
    <w:p w14:paraId="10BF188C" w14:textId="77777777" w:rsidR="00B07EE2" w:rsidRPr="007D4000" w:rsidRDefault="00B07EE2" w:rsidP="00B0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Лабораторні роботи виконують 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три етапи: підготовка до роботи,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 роботи в лабораторії, звітування 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 виконану роботу.</w:t>
      </w:r>
    </w:p>
    <w:p w14:paraId="0E1D59E7" w14:textId="77777777" w:rsidR="00B07EE2" w:rsidRPr="007D4000" w:rsidRDefault="00B07EE2" w:rsidP="00B07EE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1.3 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Підготовка до роботи зміщує:</w:t>
      </w:r>
    </w:p>
    <w:p w14:paraId="170E9863" w14:textId="77777777" w:rsidR="00B07EE2" w:rsidRPr="007D4000" w:rsidRDefault="00B07EE2" w:rsidP="00B0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1) Вивчення змісту роботи з методичн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 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азівок, ознайомлення з формами звіту;</w:t>
      </w:r>
    </w:p>
    <w:p w14:paraId="25F8BA8D" w14:textId="77777777" w:rsidR="00B07EE2" w:rsidRPr="007D4000" w:rsidRDefault="00B07EE2" w:rsidP="00B0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2) Вивчення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конструктивно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-технологічної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характеристики умов її 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роботи, установле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ння ймовірних дефектів елементі деталей 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та методів їх усунення; .</w:t>
      </w:r>
    </w:p>
    <w:p w14:paraId="5219699F" w14:textId="77777777" w:rsidR="00B07EE2" w:rsidRPr="007D4000" w:rsidRDefault="00B07EE2" w:rsidP="00B0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3) виготовлення документації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для виконання роботи: дефекаційних відомостей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схем-замірів, робочих таблиць;</w:t>
      </w:r>
    </w:p>
    <w:p w14:paraId="33F5CDA8" w14:textId="77777777" w:rsidR="00B07EE2" w:rsidRPr="007D4000" w:rsidRDefault="00B07EE2" w:rsidP="00B0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4)Заповнення 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граф відомостей, що міст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ять технічні умови на дефекацію   та нормативні данні.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</w:p>
    <w:p w14:paraId="77DF7826" w14:textId="77777777" w:rsidR="00B07EE2" w:rsidRPr="007D4000" w:rsidRDefault="00B07EE2" w:rsidP="00B07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  <w:t>1.4 Виконання роботи проходить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такій послідовності:</w:t>
      </w:r>
    </w:p>
    <w:p w14:paraId="53114D01" w14:textId="77777777" w:rsidR="00B07EE2" w:rsidRPr="007D4000" w:rsidRDefault="00B07EE2" w:rsidP="00B0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1) На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робочому місці студенти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ознайомлюються з обладнанням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визначають об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робіт.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</w:p>
    <w:p w14:paraId="59C3FB4D" w14:textId="77777777" w:rsidR="00B07EE2" w:rsidRPr="007D4000" w:rsidRDefault="00B07EE2" w:rsidP="00B0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2) З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ідно до технічних умов на дефекацію 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деталей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</w:t>
      </w:r>
      <w:r w:rsidRPr="007D40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становлюють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наявність</w:t>
      </w:r>
      <w:r w:rsidRPr="007D40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ознак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дефекту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 Конт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роль прихованих дефектів виконують при 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наявност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 спеціального обладнання. Далі переходять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до </w:t>
      </w:r>
      <w:r w:rsidRPr="007D40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замірів</w:t>
      </w:r>
      <w:r w:rsidRPr="007D4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елементів деталей. Результати нескладних замірів заносять до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відповідн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 строк таблиць. Значення параметрів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складних </w:t>
      </w:r>
      <w:r w:rsidRPr="008331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замірів</w:t>
      </w:r>
      <w:r w:rsidRPr="007D4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записують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робочих таблиць. Після розрахунків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аналізу максимальні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значення заносять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дефектаційну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відомість.</w:t>
      </w:r>
    </w:p>
    <w:p w14:paraId="4E8C8DF1" w14:textId="77777777" w:rsidR="00B07EE2" w:rsidRDefault="00B07EE2" w:rsidP="00B07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3)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наведеними нижче формулами та результатами замірів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відповідальних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лементів деталей обраховують такі пар</w:t>
      </w:r>
      <w:r w:rsidRPr="007D40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аметри:</w:t>
      </w:r>
    </w:p>
    <w:p w14:paraId="012E2FA5" w14:textId="77777777" w:rsidR="00B07EE2" w:rsidRPr="007D4000" w:rsidRDefault="00B07EE2" w:rsidP="00B0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E67F4B" w14:textId="77777777" w:rsidR="00B07EE2" w:rsidRPr="009730DB" w:rsidRDefault="00B07EE2" w:rsidP="00B07EE2">
      <w:pPr>
        <w:ind w:firstLine="708"/>
        <w:rPr>
          <w:rFonts w:ascii="Times New Roman" w:eastAsiaTheme="minorEastAsia" w:hAnsi="Times New Roman" w:cs="Times New Roman"/>
          <w:sz w:val="32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Загальне зношення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                                              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зат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ans-serif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Д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ans-serif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н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                      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заг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ans-serif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н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ans-serif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Д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ab/>
      </w:r>
      <w:r w:rsidRPr="007041C8">
        <w:rPr>
          <w:rFonts w:ascii="Times New Roman" w:eastAsiaTheme="minorEastAsia" w:hAnsi="Times New Roman" w:cs="Times New Roman"/>
          <w:sz w:val="28"/>
          <w:szCs w:val="24"/>
          <w:lang w:val="uk-UA"/>
        </w:rPr>
        <w:t xml:space="preserve">(1)              </w:t>
      </w:r>
    </w:p>
    <w:p w14:paraId="1CAE3C7D" w14:textId="77777777" w:rsidR="00B07EE2" w:rsidRPr="009730DB" w:rsidRDefault="00B07EE2" w:rsidP="00B07EE2">
      <w:pPr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</w:pPr>
      <w:r w:rsidRPr="009730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</w:t>
      </w:r>
      <w:r w:rsidRPr="009730DB">
        <w:rPr>
          <w:rFonts w:ascii="Times New Roman" w:hAnsi="Times New Roman" w:cs="Times New Roman"/>
          <w:sz w:val="24"/>
          <w:szCs w:val="24"/>
          <w:lang w:val="uk-UA"/>
        </w:rPr>
        <w:t xml:space="preserve">е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ans-serif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Д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ans-serif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,d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Д</m:t>
            </m:r>
          </m:sub>
        </m:sSub>
      </m:oMath>
      <w:r w:rsidRPr="009730D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-</w:t>
      </w:r>
      <w:r w:rsidRPr="009730D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uk-UA" w:bidi="uk-UA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найбільше для отворів, найменше для валів значення заміряного</w:t>
      </w:r>
      <w:r w:rsidRPr="009730DB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 розміру (в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икористовувати  значення з найбільшим </w:t>
      </w:r>
      <w:r w:rsidRPr="009730DB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зношенням);</w:t>
      </w:r>
    </w:p>
    <w:p w14:paraId="635336FD" w14:textId="77777777" w:rsidR="00B07EE2" w:rsidRPr="009730DB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н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- найбільший для отворів,  наймен</w:t>
      </w:r>
      <w:r w:rsidRPr="009730DB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ший для валу граничн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ий розмір робочим або ремонтним кресленням</w:t>
      </w:r>
      <w:r w:rsidRPr="009730DB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.</w:t>
      </w:r>
    </w:p>
    <w:p w14:paraId="0A716EDD" w14:textId="77777777" w:rsidR="00B07EE2" w:rsidRDefault="00B07EE2" w:rsidP="00B07EE2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9730DB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Одностороннє 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нерівномірне </w:t>
      </w:r>
      <w:r w:rsidRPr="009730DB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зношення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:</w:t>
      </w:r>
    </w:p>
    <w:p w14:paraId="3CB6DDCA" w14:textId="77777777" w:rsidR="00B07EE2" w:rsidRPr="007041C8" w:rsidRDefault="00B07EE2" w:rsidP="00B07EE2">
      <w:pPr>
        <w:ind w:firstLine="708"/>
        <w:rPr>
          <w:rFonts w:ascii="Times New Roman" w:eastAsiaTheme="minorEastAsia" w:hAnsi="Times New Roman" w:cs="Times New Roman"/>
          <w:sz w:val="28"/>
          <w:szCs w:val="24"/>
          <w:lang w:val="uk-UA" w:bidi="uk-UA"/>
        </w:rPr>
      </w:pPr>
      <w:r w:rsidRPr="007041C8"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ab/>
      </w:r>
      <w:r w:rsidRPr="007041C8"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 xml:space="preserve">    </w:t>
      </w:r>
      <w:r w:rsidRPr="007041C8">
        <w:rPr>
          <w:rFonts w:ascii="Cambria Math" w:eastAsiaTheme="minorEastAsia" w:hAnsi="Cambria Math" w:cs="Times New Roman"/>
          <w:sz w:val="28"/>
          <w:szCs w:val="24"/>
          <w:lang w:val="uk-UA" w:bidi="uk-UA"/>
        </w:rPr>
        <w:t>δ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заг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>÷β</m:t>
        </m:r>
      </m:oMath>
      <w:r>
        <w:rPr>
          <w:rFonts w:ascii="Cambria Math" w:eastAsiaTheme="minorEastAsia" w:hAnsi="Cambria Math" w:cs="Times New Roman"/>
          <w:sz w:val="28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ab/>
      </w:r>
      <w:r w:rsidRPr="007041C8"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>(2)</w:t>
      </w:r>
    </w:p>
    <w:p w14:paraId="4E676F7D" w14:textId="77777777" w:rsidR="00B07EE2" w:rsidRDefault="00B07EE2" w:rsidP="00B07EE2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7041C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де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β</m:t>
        </m:r>
      </m:oMath>
      <w:r w:rsidRPr="007041C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– коефіцієнт 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нерівномірності зношення,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β</m:t>
        </m:r>
        <m:r>
          <w:rPr>
            <w:rFonts w:ascii="Cambria Math" w:eastAsiaTheme="minorEastAsia" w:hAnsi="Times New Roman" w:cs="Times New Roman"/>
            <w:sz w:val="24"/>
            <w:szCs w:val="24"/>
            <w:lang w:val="uk-UA" w:bidi="uk-UA"/>
          </w:rPr>
          <m:t>= 0,6</m:t>
        </m:r>
      </m:oMath>
    </w:p>
    <w:p w14:paraId="712CF7D5" w14:textId="77777777" w:rsidR="00B07EE2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Нециліндричність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( овальність,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конусність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)  контактних поверхонь: </w:t>
      </w:r>
    </w:p>
    <w:p w14:paraId="652C9605" w14:textId="77777777" w:rsidR="00B07EE2" w:rsidRPr="005D179F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 xml:space="preserve">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ав.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А-А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Б-Б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 xml:space="preserve">          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ав.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А-А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Б-Б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 w:rsidRPr="00C61658"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>(3)</w:t>
      </w:r>
    </w:p>
    <w:p w14:paraId="7A843087" w14:textId="77777777" w:rsidR="00B07EE2" w:rsidRDefault="00B07EE2" w:rsidP="00B07EE2">
      <w:pPr>
        <w:ind w:left="708" w:firstLine="708"/>
        <w:rPr>
          <w:rFonts w:ascii="Times New Roman" w:eastAsiaTheme="minorEastAsia" w:hAnsi="Times New Roman" w:cs="Times New Roman"/>
          <w:sz w:val="28"/>
          <w:szCs w:val="24"/>
          <w:lang w:val="uk-UA" w:bidi="uk-UA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 xml:space="preserve">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кон.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bidi="uk-UA"/>
              </w:rPr>
              <m:t>ax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min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 xml:space="preserve">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кон.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bidi="uk-UA"/>
              </w:rPr>
              <m:t>min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>(4</w:t>
      </w:r>
      <w:r w:rsidRPr="005D179F"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>)</w:t>
      </w:r>
      <w:r w:rsidRPr="005D179F"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ab/>
      </w:r>
    </w:p>
    <w:p w14:paraId="3C46AEC4" w14:textId="77777777" w:rsidR="00B07EE2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lastRenderedPageBreak/>
        <w:tab/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А-А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Б-Б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А-А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Б-Б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– відповідно діаметр отвору, валу в двох взаємоперпендикулярних  площинах;</w:t>
      </w:r>
    </w:p>
    <w:p w14:paraId="7EAB7BA0" w14:textId="77777777" w:rsidR="00B07EE2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bidi="uk-UA"/>
              </w:rPr>
              <m:t>ax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min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bidi="uk-UA"/>
              </w:rPr>
              <m:t>min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– відповідно максимальний і мінімальний діаметр отвору і валу в одній площині і різних поясах (положення площин і поясів вімірювань наводяться в схемах замірів).</w:t>
      </w:r>
    </w:p>
    <w:p w14:paraId="13B2B4F2" w14:textId="77777777" w:rsidR="00B07EE2" w:rsidRPr="003F3144" w:rsidRDefault="00B07EE2" w:rsidP="00B07EE2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3F3144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В робочій таблиці для кожного елем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енту обчислюють декілька значень, овальності і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конусності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, найбільші величини яких із усі</w:t>
      </w:r>
      <w:r w:rsidRPr="003F3144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х табличних заносять у відповідний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пункт графи 4 пункту 2 звіту</w:t>
      </w:r>
      <w:r w:rsidRPr="003F3144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:</w:t>
      </w:r>
    </w:p>
    <w:p w14:paraId="49D4594B" w14:textId="77777777" w:rsidR="00B07EE2" w:rsidRDefault="00B07EE2" w:rsidP="00B07EE2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Розмір обробки елементу</w:t>
      </w:r>
      <w:r w:rsidRPr="003F3144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, категорію ремонтног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о розміру при відновленні під ремонтний розмір (розрахунок ведуть  для елементів з найбільшим зношенням): </w:t>
      </w:r>
    </w:p>
    <w:p w14:paraId="7272609E" w14:textId="77777777" w:rsidR="00B07EE2" w:rsidRPr="002D1CC5" w:rsidRDefault="00B07EE2" w:rsidP="00B07EE2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обр.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>+2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uk-UA" w:bidi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δ+Ƶ</m:t>
            </m:r>
          </m:e>
        </m:d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 xml:space="preserve">;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нр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uk-UA" w:bidi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δ+Ƶ</m:t>
            </m:r>
          </m:e>
        </m:d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ab/>
      </w:r>
      <w:r w:rsidRPr="00C61658"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>(5)</w:t>
      </w:r>
    </w:p>
    <w:p w14:paraId="28F18D74" w14:textId="77777777" w:rsidR="00B07EE2" w:rsidRDefault="00B07EE2" w:rsidP="00B07EE2">
      <w:pPr>
        <w:ind w:firstLine="708"/>
        <w:rPr>
          <w:rFonts w:ascii="Times New Roman" w:eastAsiaTheme="minorEastAsia" w:hAnsi="Times New Roman" w:cs="Times New Roman"/>
          <w:sz w:val="28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 w:rsidRPr="00C61658"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р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обр.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 xml:space="preserve">;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р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  <w:lang w:val="uk-UA" w:bidi="uk-UA"/>
              </w:rPr>
              <m:t>обр.</m:t>
            </m:r>
          </m:sub>
        </m:sSub>
      </m:oMath>
      <w:r w:rsidRPr="00C61658"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 w:rsidRPr="00C61658">
        <w:rPr>
          <w:rFonts w:ascii="Times New Roman" w:eastAsiaTheme="minorEastAsia" w:hAnsi="Times New Roman" w:cs="Times New Roman"/>
          <w:sz w:val="28"/>
          <w:szCs w:val="24"/>
          <w:lang w:val="uk-UA" w:bidi="uk-UA"/>
        </w:rPr>
        <w:t>(6)</w:t>
      </w:r>
    </w:p>
    <w:p w14:paraId="55CC5EF3" w14:textId="77777777" w:rsidR="00B07EE2" w:rsidRDefault="00B07EE2" w:rsidP="00B07EE2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C6165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н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,d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н</m:t>
            </m:r>
          </m:sub>
        </m:sSub>
      </m:oMath>
      <w:r w:rsidRPr="00C6165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– діаметр отвору, валу до початку експлуатації (найбільший для отвору, най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менший для валу граничний розмір за робочим або ремонтним кресленням);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Ƶ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– мінімальний односторонній припуск на обробку, Для розточування та хонінгування  2∙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Ƶ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=0,15 мм, для шліфування  2∙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uk-UA" w:bidi="uk-UA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Ƶ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=0,5 мм.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р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 w:bidi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m:rPr>
                <m:scr m:val="sans-serif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р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– категорійний ремонтний розмір отв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ору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, валу за технічними умовами. </w:t>
      </w:r>
    </w:p>
    <w:p w14:paraId="1C6378E1" w14:textId="77777777" w:rsidR="00B07EE2" w:rsidRDefault="00B07EE2" w:rsidP="00B07EE2">
      <w:pPr>
        <w:rPr>
          <w:rFonts w:ascii="Times New Roman" w:eastAsiaTheme="minorEastAsia" w:hAnsi="Times New Roman" w:cs="Times New Roman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uk-UA" w:bidi="uk-UA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4.</w:t>
      </w:r>
      <w:r w:rsidRPr="006F5EF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По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 кожному контрольн</w:t>
      </w:r>
      <w:r w:rsidRPr="006F5EF8">
        <w:rPr>
          <w:rFonts w:ascii="Times New Roman" w:eastAsiaTheme="minorEastAsia" w:hAnsi="Times New Roman" w:cs="Times New Roman"/>
          <w:szCs w:val="24"/>
          <w:lang w:val="uk-UA" w:bidi="uk-UA"/>
        </w:rPr>
        <w:t>ому елементу деталі по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>рівнянням д</w:t>
      </w:r>
      <w:r w:rsidRPr="006F5EF8">
        <w:rPr>
          <w:rFonts w:ascii="Times New Roman" w:eastAsiaTheme="minorEastAsia" w:hAnsi="Times New Roman" w:cs="Times New Roman"/>
          <w:szCs w:val="24"/>
          <w:lang w:val="uk-UA" w:bidi="uk-UA"/>
        </w:rPr>
        <w:t>і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йсного стану (графа 4) </w:t>
      </w:r>
      <w:r w:rsidRPr="006F5EF8">
        <w:rPr>
          <w:rFonts w:ascii="Times New Roman" w:eastAsiaTheme="minorEastAsia" w:hAnsi="Times New Roman" w:cs="Times New Roman"/>
          <w:szCs w:val="24"/>
          <w:lang w:val="uk-UA" w:bidi="uk-UA"/>
        </w:rPr>
        <w:t>з розмірами за технічними ум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овами (графа 3) приймають рішення </w:t>
      </w:r>
      <w:r w:rsidRPr="006F5EF8">
        <w:rPr>
          <w:rFonts w:ascii="Times New Roman" w:eastAsiaTheme="minorEastAsia" w:hAnsi="Times New Roman" w:cs="Times New Roman"/>
          <w:szCs w:val="24"/>
          <w:lang w:val="uk-UA" w:bidi="uk-UA"/>
        </w:rPr>
        <w:t xml:space="preserve"> про придатність елемент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а для використання, можливості відновлення </w:t>
      </w:r>
      <w:r w:rsidRPr="006F5EF8">
        <w:rPr>
          <w:rFonts w:ascii="Times New Roman" w:eastAsiaTheme="minorEastAsia" w:hAnsi="Times New Roman" w:cs="Times New Roman"/>
          <w:szCs w:val="24"/>
          <w:lang w:val="uk-UA" w:bidi="uk-UA"/>
        </w:rPr>
        <w:t xml:space="preserve"> дефекту та спосіб його усунення, яке вказують в графі 5 пункту 2 звіту. Загальний висново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>к про стен деталі</w:t>
      </w:r>
      <w:r w:rsidRPr="006F5EF8">
        <w:rPr>
          <w:rFonts w:ascii="Times New Roman" w:eastAsiaTheme="minorEastAsia" w:hAnsi="Times New Roman" w:cs="Times New Roman"/>
          <w:szCs w:val="24"/>
          <w:lang w:val="uk-UA" w:bidi="uk-UA"/>
        </w:rPr>
        <w:t xml:space="preserve"> приводять в кінці звіту (пункт 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>6</w:t>
      </w:r>
      <w:r w:rsidRPr="006F5EF8">
        <w:rPr>
          <w:rFonts w:ascii="Times New Roman" w:eastAsiaTheme="minorEastAsia" w:hAnsi="Times New Roman" w:cs="Times New Roman"/>
          <w:szCs w:val="24"/>
          <w:lang w:bidi="uk-UA"/>
        </w:rPr>
        <w:t>).</w:t>
      </w:r>
    </w:p>
    <w:p w14:paraId="2F211918" w14:textId="77777777" w:rsidR="00B07EE2" w:rsidRPr="006F5EF8" w:rsidRDefault="00B07EE2" w:rsidP="00B07EE2">
      <w:pPr>
        <w:rPr>
          <w:rFonts w:ascii="Times New Roman" w:eastAsiaTheme="minorEastAsia" w:hAnsi="Times New Roman" w:cs="Times New Roman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Після закінчення роботи </w:t>
      </w:r>
      <w:r w:rsidRPr="006F5EF8">
        <w:rPr>
          <w:rFonts w:ascii="Times New Roman" w:eastAsiaTheme="minorEastAsia" w:hAnsi="Times New Roman" w:cs="Times New Roman"/>
          <w:szCs w:val="24"/>
          <w:lang w:val="uk-UA" w:bidi="uk-UA"/>
        </w:rPr>
        <w:t xml:space="preserve"> бригади проводять організаційно-технічно обслуговува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>ння робочого місця (протирають і</w:t>
      </w:r>
      <w:r w:rsidRPr="006F5EF8">
        <w:rPr>
          <w:rFonts w:ascii="Times New Roman" w:eastAsiaTheme="minorEastAsia" w:hAnsi="Times New Roman" w:cs="Times New Roman"/>
          <w:szCs w:val="24"/>
          <w:lang w:val="uk-UA" w:bidi="uk-UA"/>
        </w:rPr>
        <w:t xml:space="preserve"> приводять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 у початковий стан обладнання, і</w:t>
      </w:r>
      <w:r w:rsidRPr="006F5EF8">
        <w:rPr>
          <w:rFonts w:ascii="Times New Roman" w:eastAsiaTheme="minorEastAsia" w:hAnsi="Times New Roman" w:cs="Times New Roman"/>
          <w:szCs w:val="24"/>
          <w:lang w:val="uk-UA" w:bidi="uk-UA"/>
        </w:rPr>
        <w:t>нс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>трумент, деталі, документацію) здають його майстро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softHyphen/>
        <w:t>ві.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ab/>
      </w:r>
    </w:p>
    <w:p w14:paraId="23CC80E4" w14:textId="77777777" w:rsidR="00B07EE2" w:rsidRPr="006F5EF8" w:rsidRDefault="00B07EE2" w:rsidP="00B07EE2">
      <w:pPr>
        <w:ind w:firstLine="708"/>
        <w:rPr>
          <w:rFonts w:ascii="Times New Roman" w:eastAsiaTheme="minorEastAsia" w:hAnsi="Times New Roman" w:cs="Times New Roman"/>
          <w:szCs w:val="24"/>
          <w:lang w:val="uk-UA" w:bidi="uk-UA"/>
        </w:rPr>
      </w:pPr>
      <w:r w:rsidRPr="006F5EF8">
        <w:rPr>
          <w:rFonts w:ascii="Times New Roman" w:eastAsiaTheme="minorEastAsia" w:hAnsi="Times New Roman" w:cs="Times New Roman"/>
          <w:szCs w:val="24"/>
          <w:u w:val="single"/>
          <w:lang w:val="uk-UA" w:bidi="uk-UA"/>
        </w:rPr>
        <w:t>1.5 Звіт про роботу.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 Про виконання роботи кож</w:t>
      </w:r>
      <w:r w:rsidRPr="006F5EF8">
        <w:rPr>
          <w:rFonts w:ascii="Times New Roman" w:eastAsiaTheme="minorEastAsia" w:hAnsi="Times New Roman" w:cs="Times New Roman"/>
          <w:szCs w:val="24"/>
          <w:lang w:val="uk-UA" w:bidi="uk-UA"/>
        </w:rPr>
        <w:t>ний студент скл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>адає звіт, який включає      слідуючи  пункти:</w:t>
      </w:r>
    </w:p>
    <w:p w14:paraId="77797621" w14:textId="77777777" w:rsidR="00B07EE2" w:rsidRPr="006F5EF8" w:rsidRDefault="00B07EE2" w:rsidP="00B07EE2">
      <w:pPr>
        <w:rPr>
          <w:rFonts w:ascii="Times New Roman" w:eastAsiaTheme="minorEastAsia" w:hAnsi="Times New Roman" w:cs="Times New Roman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1. </w:t>
      </w:r>
      <w:r w:rsidRPr="006F5EF8">
        <w:rPr>
          <w:rFonts w:ascii="Times New Roman" w:eastAsiaTheme="minorEastAsia" w:hAnsi="Times New Roman" w:cs="Times New Roman"/>
          <w:szCs w:val="24"/>
          <w:lang w:val="uk-UA" w:bidi="uk-UA"/>
        </w:rPr>
        <w:t>Конструктивно-технологічну характеристику, деталі.</w:t>
      </w:r>
    </w:p>
    <w:p w14:paraId="09B5BEE3" w14:textId="77777777" w:rsidR="00B07EE2" w:rsidRDefault="00B07EE2" w:rsidP="00B07EE2">
      <w:pPr>
        <w:rPr>
          <w:rFonts w:ascii="Times New Roman" w:eastAsiaTheme="minorEastAsia" w:hAnsi="Times New Roman" w:cs="Times New Roman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2. </w:t>
      </w:r>
      <w:r w:rsidRPr="006F5EF8">
        <w:rPr>
          <w:rFonts w:ascii="Times New Roman" w:eastAsiaTheme="minorEastAsia" w:hAnsi="Times New Roman" w:cs="Times New Roman"/>
          <w:szCs w:val="24"/>
          <w:lang w:val="uk-UA" w:bidi="uk-UA"/>
        </w:rPr>
        <w:t>Відомість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Cs w:val="24"/>
          <w:lang w:val="uk-UA" w:bidi="uk-UA"/>
        </w:rPr>
        <w:t>дефектації</w:t>
      </w:r>
      <w:proofErr w:type="spellEnd"/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  деталі за формою</w:t>
      </w:r>
    </w:p>
    <w:p w14:paraId="7CBA4639" w14:textId="77777777" w:rsidR="00B07EE2" w:rsidRPr="006D6ED2" w:rsidRDefault="00B07EE2" w:rsidP="00B07EE2">
      <w:pPr>
        <w:rPr>
          <w:rFonts w:ascii="Times New Roman" w:eastAsiaTheme="minorEastAsia" w:hAnsi="Times New Roman" w:cs="Times New Roman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3.Схеми </w:t>
      </w:r>
      <w:r w:rsidRPr="006D6ED2">
        <w:rPr>
          <w:rFonts w:ascii="Times New Roman" w:eastAsiaTheme="minorEastAsia" w:hAnsi="Times New Roman" w:cs="Times New Roman"/>
          <w:szCs w:val="24"/>
          <w:lang w:val="uk-UA" w:bidi="uk-UA"/>
        </w:rPr>
        <w:t>вимірювання елементів деталі.</w:t>
      </w:r>
    </w:p>
    <w:p w14:paraId="1124FB76" w14:textId="77777777" w:rsidR="00B07EE2" w:rsidRPr="006D6ED2" w:rsidRDefault="00B07EE2" w:rsidP="00B07EE2">
      <w:pPr>
        <w:rPr>
          <w:rFonts w:ascii="Times New Roman" w:eastAsiaTheme="minorEastAsia" w:hAnsi="Times New Roman" w:cs="Times New Roman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Cs w:val="24"/>
          <w:lang w:val="uk-UA" w:bidi="uk-UA"/>
        </w:rPr>
        <w:t>4.Таблиці замірів і</w:t>
      </w:r>
      <w:r w:rsidRPr="006D6ED2">
        <w:rPr>
          <w:rFonts w:ascii="Times New Roman" w:eastAsiaTheme="minorEastAsia" w:hAnsi="Times New Roman" w:cs="Times New Roman"/>
          <w:szCs w:val="24"/>
          <w:lang w:val="uk-UA" w:bidi="uk-UA"/>
        </w:rPr>
        <w:t xml:space="preserve"> розрахункові розміри елементів деталі.</w:t>
      </w:r>
    </w:p>
    <w:p w14:paraId="52CF8FFE" w14:textId="77777777" w:rsidR="00B07EE2" w:rsidRPr="006D6ED2" w:rsidRDefault="00B07EE2" w:rsidP="00B07EE2">
      <w:pPr>
        <w:rPr>
          <w:rFonts w:ascii="Times New Roman" w:eastAsiaTheme="minorEastAsia" w:hAnsi="Times New Roman" w:cs="Times New Roman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Cs w:val="24"/>
          <w:lang w:val="uk-UA" w:bidi="uk-UA"/>
        </w:rPr>
        <w:t>5.</w:t>
      </w:r>
      <w:r w:rsidRPr="006D6ED2">
        <w:rPr>
          <w:rFonts w:ascii="Times New Roman" w:eastAsiaTheme="minorEastAsia" w:hAnsi="Times New Roman" w:cs="Times New Roman"/>
          <w:szCs w:val="24"/>
          <w:lang w:val="uk-UA" w:bidi="uk-UA"/>
        </w:rPr>
        <w:t>Розрахунки спрацювань, овал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 xml:space="preserve">ьності, </w:t>
      </w:r>
      <w:proofErr w:type="spellStart"/>
      <w:r>
        <w:rPr>
          <w:rFonts w:ascii="Times New Roman" w:eastAsiaTheme="minorEastAsia" w:hAnsi="Times New Roman" w:cs="Times New Roman"/>
          <w:szCs w:val="24"/>
          <w:lang w:val="uk-UA" w:bidi="uk-UA"/>
        </w:rPr>
        <w:t>конусності</w:t>
      </w:r>
      <w:proofErr w:type="spellEnd"/>
      <w:r>
        <w:rPr>
          <w:rFonts w:ascii="Times New Roman" w:eastAsiaTheme="minorEastAsia" w:hAnsi="Times New Roman" w:cs="Times New Roman"/>
          <w:szCs w:val="24"/>
          <w:lang w:val="uk-UA" w:bidi="uk-UA"/>
        </w:rPr>
        <w:t>, розмірів в</w:t>
      </w:r>
      <w:r w:rsidRPr="006D6ED2">
        <w:rPr>
          <w:rFonts w:ascii="Times New Roman" w:eastAsiaTheme="minorEastAsia" w:hAnsi="Times New Roman" w:cs="Times New Roman"/>
          <w:szCs w:val="24"/>
          <w:lang w:val="uk-UA" w:bidi="uk-UA"/>
        </w:rPr>
        <w:t xml:space="preserve"> які 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t>об</w:t>
      </w:r>
      <w:r>
        <w:rPr>
          <w:rFonts w:ascii="Times New Roman" w:eastAsiaTheme="minorEastAsia" w:hAnsi="Times New Roman" w:cs="Times New Roman"/>
          <w:szCs w:val="24"/>
          <w:lang w:val="uk-UA" w:bidi="uk-UA"/>
        </w:rPr>
        <w:softHyphen/>
        <w:t xml:space="preserve">робляються елементи деталі. </w:t>
      </w:r>
    </w:p>
    <w:p w14:paraId="7FD3F0F7" w14:textId="3D8D3C70" w:rsidR="00B07EE2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6. Загальний висновок за наслідками </w:t>
      </w:r>
      <w:proofErr w:type="spellStart"/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дефектації</w:t>
      </w:r>
      <w:proofErr w:type="spellEnd"/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 деталі.</w:t>
      </w:r>
    </w:p>
    <w:p w14:paraId="3FD6E6EF" w14:textId="77777777" w:rsidR="00B07EE2" w:rsidRDefault="00B07EE2" w:rsidP="00B07EE2">
      <w:pPr>
        <w:ind w:left="7788"/>
        <w:rPr>
          <w:rFonts w:ascii="Times New Roman" w:eastAsiaTheme="minorEastAsia" w:hAnsi="Times New Roman" w:cs="Times New Roman"/>
          <w:szCs w:val="24"/>
          <w:lang w:val="uk-UA" w:bidi="uk-UA"/>
        </w:rPr>
      </w:pPr>
    </w:p>
    <w:p w14:paraId="1795980D" w14:textId="77777777" w:rsidR="00B07EE2" w:rsidRDefault="00B07EE2" w:rsidP="00B07EE2">
      <w:pPr>
        <w:ind w:left="7788"/>
        <w:rPr>
          <w:rFonts w:ascii="Times New Roman" w:eastAsiaTheme="minorEastAsia" w:hAnsi="Times New Roman" w:cs="Times New Roman"/>
          <w:szCs w:val="24"/>
          <w:lang w:val="uk-UA" w:bidi="uk-UA"/>
        </w:rPr>
      </w:pPr>
    </w:p>
    <w:p w14:paraId="7CCAB8C3" w14:textId="77777777" w:rsidR="00B07EE2" w:rsidRDefault="00B07EE2" w:rsidP="00B07EE2">
      <w:pPr>
        <w:ind w:left="7788"/>
        <w:rPr>
          <w:rFonts w:ascii="Times New Roman" w:eastAsiaTheme="minorEastAsia" w:hAnsi="Times New Roman" w:cs="Times New Roman"/>
          <w:szCs w:val="24"/>
          <w:lang w:val="uk-UA" w:bidi="uk-UA"/>
        </w:rPr>
      </w:pPr>
    </w:p>
    <w:p w14:paraId="38ED1989" w14:textId="60F6F2BA" w:rsidR="00B07EE2" w:rsidRPr="00B07EE2" w:rsidRDefault="00B07EE2" w:rsidP="00B07EE2">
      <w:pPr>
        <w:spacing w:after="0" w:line="240" w:lineRule="auto"/>
        <w:ind w:left="7788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B07EE2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lastRenderedPageBreak/>
        <w:t>Таблиця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7"/>
        <w:gridCol w:w="1887"/>
        <w:gridCol w:w="1883"/>
        <w:gridCol w:w="1837"/>
        <w:gridCol w:w="1851"/>
      </w:tblGrid>
      <w:tr w:rsidR="00B07EE2" w:rsidRPr="00B07EE2" w14:paraId="112DB698" w14:textId="77777777" w:rsidTr="00D10E2A">
        <w:trPr>
          <w:trHeight w:val="1427"/>
        </w:trPr>
        <w:tc>
          <w:tcPr>
            <w:tcW w:w="1914" w:type="dxa"/>
            <w:vAlign w:val="center"/>
          </w:tcPr>
          <w:p w14:paraId="7AF95E2E" w14:textId="77777777" w:rsidR="00B07EE2" w:rsidRPr="00B07EE2" w:rsidRDefault="00B07EE2" w:rsidP="00B07E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</w:pPr>
            <w:r w:rsidRPr="00B07EE2"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  <w:t>Елемент, що контролюють</w:t>
            </w:r>
          </w:p>
        </w:tc>
        <w:tc>
          <w:tcPr>
            <w:tcW w:w="1914" w:type="dxa"/>
            <w:vAlign w:val="center"/>
          </w:tcPr>
          <w:p w14:paraId="4B9EFA81" w14:textId="77777777" w:rsidR="00B07EE2" w:rsidRPr="00B07EE2" w:rsidRDefault="00B07EE2" w:rsidP="00B07E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</w:pPr>
            <w:r w:rsidRPr="00B07EE2"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  <w:t>Спосіб контролю</w:t>
            </w:r>
          </w:p>
          <w:p w14:paraId="2CFD0101" w14:textId="77777777" w:rsidR="00B07EE2" w:rsidRPr="00B07EE2" w:rsidRDefault="00B07EE2" w:rsidP="00B07E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</w:pPr>
            <w:r w:rsidRPr="00B07EE2"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  <w:t>Засоби контролю, вимірювальні інструменти</w:t>
            </w:r>
          </w:p>
        </w:tc>
        <w:tc>
          <w:tcPr>
            <w:tcW w:w="1914" w:type="dxa"/>
            <w:vAlign w:val="center"/>
          </w:tcPr>
          <w:p w14:paraId="011C4A8D" w14:textId="77777777" w:rsidR="00B07EE2" w:rsidRPr="00B07EE2" w:rsidRDefault="00B07EE2" w:rsidP="00B07E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</w:pPr>
            <w:r w:rsidRPr="00B07EE2"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  <w:t>Вимоги робочого (ремонтного) креслення</w:t>
            </w:r>
          </w:p>
        </w:tc>
        <w:tc>
          <w:tcPr>
            <w:tcW w:w="1914" w:type="dxa"/>
            <w:vAlign w:val="center"/>
          </w:tcPr>
          <w:p w14:paraId="3564A5C4" w14:textId="77777777" w:rsidR="00B07EE2" w:rsidRPr="00B07EE2" w:rsidRDefault="00B07EE2" w:rsidP="00B07E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</w:pPr>
            <w:r w:rsidRPr="00B07EE2"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  <w:t>Дійсний стан</w:t>
            </w:r>
          </w:p>
        </w:tc>
        <w:tc>
          <w:tcPr>
            <w:tcW w:w="1915" w:type="dxa"/>
            <w:vAlign w:val="center"/>
          </w:tcPr>
          <w:p w14:paraId="71381FED" w14:textId="77777777" w:rsidR="00B07EE2" w:rsidRPr="00B07EE2" w:rsidRDefault="00B07EE2" w:rsidP="00B07E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</w:pPr>
            <w:r w:rsidRPr="00B07EE2"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  <w:t>Висновок 1</w:t>
            </w:r>
          </w:p>
        </w:tc>
      </w:tr>
      <w:tr w:rsidR="00B07EE2" w:rsidRPr="00B07EE2" w14:paraId="3B27AC52" w14:textId="77777777" w:rsidTr="00D10E2A">
        <w:trPr>
          <w:trHeight w:val="400"/>
        </w:trPr>
        <w:tc>
          <w:tcPr>
            <w:tcW w:w="1914" w:type="dxa"/>
            <w:vAlign w:val="center"/>
          </w:tcPr>
          <w:p w14:paraId="21C2A37D" w14:textId="77777777" w:rsidR="00B07EE2" w:rsidRPr="00B07EE2" w:rsidRDefault="00B07EE2" w:rsidP="00B07E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</w:pPr>
            <w:r w:rsidRPr="00B07EE2"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  <w:t>1</w:t>
            </w:r>
          </w:p>
        </w:tc>
        <w:tc>
          <w:tcPr>
            <w:tcW w:w="1914" w:type="dxa"/>
            <w:vAlign w:val="center"/>
          </w:tcPr>
          <w:p w14:paraId="4306A3B7" w14:textId="77777777" w:rsidR="00B07EE2" w:rsidRPr="00B07EE2" w:rsidRDefault="00B07EE2" w:rsidP="00B07E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</w:pPr>
            <w:r w:rsidRPr="00B07EE2"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  <w:t>2</w:t>
            </w:r>
          </w:p>
        </w:tc>
        <w:tc>
          <w:tcPr>
            <w:tcW w:w="1914" w:type="dxa"/>
            <w:vAlign w:val="center"/>
          </w:tcPr>
          <w:p w14:paraId="70C36AE2" w14:textId="77777777" w:rsidR="00B07EE2" w:rsidRPr="00B07EE2" w:rsidRDefault="00B07EE2" w:rsidP="00B07E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</w:pPr>
            <w:r w:rsidRPr="00B07EE2"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  <w:t>3</w:t>
            </w:r>
          </w:p>
        </w:tc>
        <w:tc>
          <w:tcPr>
            <w:tcW w:w="1914" w:type="dxa"/>
            <w:vAlign w:val="center"/>
          </w:tcPr>
          <w:p w14:paraId="13E86447" w14:textId="77777777" w:rsidR="00B07EE2" w:rsidRPr="00B07EE2" w:rsidRDefault="00B07EE2" w:rsidP="00B07E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</w:pPr>
            <w:r w:rsidRPr="00B07EE2"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  <w:t>4</w:t>
            </w:r>
          </w:p>
        </w:tc>
        <w:tc>
          <w:tcPr>
            <w:tcW w:w="1915" w:type="dxa"/>
            <w:vAlign w:val="center"/>
          </w:tcPr>
          <w:p w14:paraId="555BBB27" w14:textId="77777777" w:rsidR="00B07EE2" w:rsidRPr="00B07EE2" w:rsidRDefault="00B07EE2" w:rsidP="00B07E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</w:pPr>
            <w:r w:rsidRPr="00B07EE2">
              <w:rPr>
                <w:rFonts w:ascii="Times New Roman" w:eastAsiaTheme="minorEastAsia" w:hAnsi="Times New Roman" w:cs="Times New Roman"/>
                <w:sz w:val="24"/>
                <w:szCs w:val="24"/>
                <w:lang w:val="uk-UA" w:bidi="uk-UA"/>
              </w:rPr>
              <w:t>5</w:t>
            </w:r>
          </w:p>
        </w:tc>
      </w:tr>
    </w:tbl>
    <w:p w14:paraId="6E5473D8" w14:textId="77777777" w:rsidR="00B07EE2" w:rsidRPr="00FD42C3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</w:p>
    <w:p w14:paraId="00D030F1" w14:textId="77777777" w:rsidR="00B07EE2" w:rsidRPr="00FD42C3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  <w:t>Офо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рмлений звіт студент подає до захисту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 викладачу. Під час захисту студент повинен знати послідовність виконання роботи,  </w:t>
      </w:r>
      <w:proofErr w:type="spellStart"/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конструктивно</w:t>
      </w:r>
      <w:proofErr w:type="spellEnd"/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-технологічні параметри деталі та головні характеристики обладнання, інструментів, пояснити і обґрунтувати прийняті рішення.</w:t>
      </w:r>
    </w:p>
    <w:p w14:paraId="4DF22EBE" w14:textId="39FBA7D0" w:rsidR="00B07EE2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br w:type="page"/>
      </w:r>
    </w:p>
    <w:p w14:paraId="5EF81AC5" w14:textId="77777777" w:rsidR="00B07EE2" w:rsidRDefault="00B07EE2" w:rsidP="00B07EE2">
      <w:pPr>
        <w:jc w:val="center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lastRenderedPageBreak/>
        <w:t xml:space="preserve">ЛАБОРАТОРНА РОБОТА № 1. </w:t>
      </w:r>
    </w:p>
    <w:p w14:paraId="6F27E482" w14:textId="77777777" w:rsidR="00B07EE2" w:rsidRPr="00FD42C3" w:rsidRDefault="00B07EE2" w:rsidP="00B07EE2">
      <w:pPr>
        <w:jc w:val="center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ДЕФЕКТАЦІЯ І ВІДН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ОВЛЕННЯ ГІЛЬЗ ЦИЛІНДРІВ ДВИГУНА.</w:t>
      </w:r>
    </w:p>
    <w:p w14:paraId="68765379" w14:textId="77777777" w:rsidR="00B07EE2" w:rsidRPr="00FD42C3" w:rsidRDefault="00B07EE2" w:rsidP="00A0504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</w:pP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1.</w:t>
      </w:r>
      <w:r w:rsidRPr="00FD42C3"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>Обладнання, оснащення робочого місця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: гільзи циліндрів 130-1002020, пристрій для випробування гільз на герметичність, лабо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softHyphen/>
        <w:t>ра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торний стіл, індикаторний нутромір Н1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100-16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0, мікрометр МК 125-2, лупа ЛП-1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-4, ремонтне креслення гільзи.</w:t>
      </w:r>
    </w:p>
    <w:p w14:paraId="1E6D39BA" w14:textId="77777777" w:rsidR="00B07EE2" w:rsidRPr="00FD42C3" w:rsidRDefault="00B07EE2" w:rsidP="00A05047">
      <w:pPr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</w:pPr>
      <w:r w:rsidRPr="00FD42C3"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 xml:space="preserve">Конструктивно-технологічна характеристика гільз циліндрів.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Гільзи циліндрів двигуна ЗІЛ-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ІЗО виготовляється із сірого чавун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у СЧ-І8 твердість 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НВ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не менше 196. Гільза циліндрів мала /встав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ка/ - із чавуну легованого, твердість НВ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156-197.</w:t>
      </w:r>
    </w:p>
    <w:p w14:paraId="5F4C5635" w14:textId="77777777" w:rsidR="00B07EE2" w:rsidRDefault="00B07EE2" w:rsidP="00A0504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Кон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структивними елементами гільзи є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отвір під порше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нь, зовнішня поверхня, верхній і нижній, і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з канавками під ущільнюючі гумові кільця, посадочні пояски, 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бурт.</w:t>
      </w:r>
    </w:p>
    <w:p w14:paraId="0E940D98" w14:textId="77777777" w:rsidR="00B07EE2" w:rsidRPr="00E86CD7" w:rsidRDefault="00B07EE2" w:rsidP="00A05047">
      <w:pPr>
        <w:spacing w:line="36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bidi="uk-UA"/>
        </w:rPr>
      </w:pP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Вимоги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до точності розмірів в межах 6-7 квалітетів,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нециліндричність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/овальність, </w:t>
      </w:r>
      <w:proofErr w:type="spellStart"/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конусність</w:t>
      </w:r>
      <w:proofErr w:type="spellEnd"/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/ не повинна пер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евищувати 0,02 мм. Шорст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softHyphen/>
        <w:t xml:space="preserve">кість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поверхні під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bidi="uk-UA"/>
        </w:rPr>
        <w:t>порш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е</w:t>
      </w:r>
      <w:proofErr w:type="spellStart"/>
      <w:r w:rsidRPr="00FD42C3">
        <w:rPr>
          <w:rFonts w:ascii="Times New Roman" w:eastAsiaTheme="minorEastAsia" w:hAnsi="Times New Roman" w:cs="Times New Roman"/>
          <w:sz w:val="24"/>
          <w:szCs w:val="24"/>
          <w:lang w:bidi="uk-UA"/>
        </w:rPr>
        <w:t>нь</w:t>
      </w:r>
      <w:proofErr w:type="spellEnd"/>
      <w:r w:rsidRPr="00FD42C3">
        <w:rPr>
          <w:rFonts w:ascii="Times New Roman" w:eastAsiaTheme="minorEastAsia" w:hAnsi="Times New Roman" w:cs="Times New Roman"/>
          <w:sz w:val="24"/>
          <w:szCs w:val="24"/>
          <w:lang w:bidi="uk-UA"/>
        </w:rPr>
        <w:tab/>
      </w:r>
    </w:p>
    <w:p w14:paraId="60DA27A1" w14:textId="77777777" w:rsidR="00B07EE2" w:rsidRPr="00FD42C3" w:rsidRDefault="00B07EE2" w:rsidP="00A05047">
      <w:pPr>
        <w:spacing w:line="36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bidi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bidi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bidi="uk-UA"/>
          </w:rPr>
          <m:t xml:space="preserve">≤ </m:t>
        </m:r>
      </m:oMath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0,32 мкм.</w:t>
      </w:r>
    </w:p>
    <w:p w14:paraId="2C2F3A29" w14:textId="77777777" w:rsidR="00B07EE2" w:rsidRPr="00FD42C3" w:rsidRDefault="00B07EE2" w:rsidP="00A0504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Установочна 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база гільзи - фаски отворів під</w:t>
      </w:r>
      <w:r w:rsidRPr="00DC6147">
        <w:rPr>
          <w:rFonts w:ascii="Times New Roman" w:eastAsiaTheme="minorEastAsia" w:hAnsi="Times New Roman" w:cs="Times New Roman"/>
          <w:sz w:val="24"/>
          <w:szCs w:val="24"/>
          <w:lang w:bidi="uk-UA"/>
        </w:rPr>
        <w:t xml:space="preserve">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поршень.</w:t>
      </w:r>
    </w:p>
    <w:p w14:paraId="2AD6F53D" w14:textId="77777777" w:rsidR="00B07EE2" w:rsidRPr="00FD42C3" w:rsidRDefault="00B07EE2" w:rsidP="00A0504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>Вид,</w:t>
      </w:r>
      <w:r w:rsidRPr="00FD42C3"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 xml:space="preserve"> характер дефектів, способи їх усунення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. В. процесі робо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ти двигуна на гільзу діють сили</w:t>
      </w:r>
      <w:r w:rsidRPr="00DC6147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тертя, внутрішні</w:t>
      </w:r>
      <w:r w:rsidRPr="00DC6147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напруження в металі, вібрація, агресивність середовища тощо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. Діючі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фактори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спричиня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ють зношен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softHyphen/>
        <w:t xml:space="preserve">ня, порушення якості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поверхні /задирки; риски, коронування/, механічні пошкодження /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тріщини, відколи/ Зношення,  корозійні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пошкодження отвору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під поршень, усувають обробкою під ремонтний розмір. При зношенні контактних поясків гільзи двигуна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ЗІЛ-ІЗО рекомендують бракувати . Сл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ід вказати, що їх відновлюють у інш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их двигунів нарощуванням матеріалі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в /наплавленням, металізацією,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електролітичним осаджуванням, нанесенням синт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етичних композиційних сумішей/ і об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робкою під початковий розмір.</w:t>
      </w:r>
    </w:p>
    <w:p w14:paraId="138ADD6F" w14:textId="77777777" w:rsidR="00B07EE2" w:rsidRDefault="00B07EE2" w:rsidP="00A0504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55FE6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3.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>Технічні умови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на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деф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ектацію</w:t>
      </w:r>
      <w:proofErr w:type="spellEnd"/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гільз наведені в.табл.1.1, схема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 xml:space="preserve">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вимірювання - На-рис.1.1. Результати замірів отвору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під поршень офор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softHyphen/>
        <w:t>мити в табл. 1.2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</w:p>
    <w:p w14:paraId="515DAE9C" w14:textId="0D1767B7" w:rsidR="00B07EE2" w:rsidRDefault="00B07EE2" w:rsidP="00A0504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Для забезпечення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селективн</w:t>
      </w:r>
      <w:bookmarkStart w:id="0" w:name="_GoBack"/>
      <w:bookmarkEnd w:id="0"/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ого спряження гільза-поршень їх розп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о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softHyphen/>
        <w:t xml:space="preserve">діляють на 6 розмірних груп, </w:t>
      </w:r>
      <w:r w:rsidRPr="00FD42C3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свідчення про які подані, в табл.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1.</w:t>
      </w:r>
    </w:p>
    <w:p w14:paraId="61B1A25E" w14:textId="76AEDD17" w:rsidR="00A05047" w:rsidRDefault="00A05047" w:rsidP="00A0504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</w:p>
    <w:p w14:paraId="2D64BF9B" w14:textId="77777777" w:rsidR="00A05047" w:rsidRPr="00855FE6" w:rsidRDefault="00A05047" w:rsidP="00A0504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</w:pPr>
    </w:p>
    <w:p w14:paraId="47EE9863" w14:textId="77777777" w:rsidR="00B07EE2" w:rsidRPr="00855FE6" w:rsidRDefault="00B07EE2" w:rsidP="00A0504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lastRenderedPageBreak/>
        <w:t>1.1.</w:t>
      </w:r>
      <w:r w:rsidRPr="00855FE6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</w:t>
      </w:r>
      <w:bookmarkStart w:id="1" w:name="bookmark0"/>
      <w:r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 xml:space="preserve">Технічні умови  на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деф</w:t>
      </w:r>
      <w:r w:rsidRPr="00855FE6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ектацію</w:t>
      </w:r>
      <w:proofErr w:type="spellEnd"/>
      <w:r w:rsidRPr="00855FE6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 xml:space="preserve"> гільз циліндрів.</w:t>
      </w:r>
      <w:bookmarkEnd w:id="1"/>
    </w:p>
    <w:tbl>
      <w:tblPr>
        <w:tblStyle w:val="a3"/>
        <w:tblW w:w="9886" w:type="dxa"/>
        <w:tblLook w:val="04A0" w:firstRow="1" w:lastRow="0" w:firstColumn="1" w:lastColumn="0" w:noHBand="0" w:noVBand="1"/>
      </w:tblPr>
      <w:tblGrid>
        <w:gridCol w:w="652"/>
        <w:gridCol w:w="2074"/>
        <w:gridCol w:w="1615"/>
        <w:gridCol w:w="1497"/>
        <w:gridCol w:w="1149"/>
        <w:gridCol w:w="1149"/>
        <w:gridCol w:w="1750"/>
      </w:tblGrid>
      <w:tr w:rsidR="00B07EE2" w14:paraId="18C6630F" w14:textId="77777777" w:rsidTr="00D10E2A">
        <w:trPr>
          <w:trHeight w:val="372"/>
        </w:trPr>
        <w:tc>
          <w:tcPr>
            <w:tcW w:w="665" w:type="dxa"/>
            <w:vMerge w:val="restart"/>
            <w:vAlign w:val="center"/>
          </w:tcPr>
          <w:p w14:paraId="2758F1EC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Поз.</w:t>
            </w:r>
          </w:p>
          <w:p w14:paraId="1A45AA0D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На</w:t>
            </w:r>
          </w:p>
          <w:p w14:paraId="7D997ADA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Рис.</w:t>
            </w:r>
          </w:p>
          <w:p w14:paraId="040AFE00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  <w:tc>
          <w:tcPr>
            <w:tcW w:w="2311" w:type="dxa"/>
            <w:vMerge w:val="restart"/>
            <w:vAlign w:val="center"/>
          </w:tcPr>
          <w:p w14:paraId="34BF02C5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Назва дефекту</w:t>
            </w:r>
          </w:p>
        </w:tc>
        <w:tc>
          <w:tcPr>
            <w:tcW w:w="1653" w:type="dxa"/>
            <w:vMerge w:val="restart"/>
            <w:vAlign w:val="center"/>
          </w:tcPr>
          <w:p w14:paraId="1ED9FEF5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Спосіб виявлення дефекту. Засоби контролю.</w:t>
            </w:r>
          </w:p>
        </w:tc>
        <w:tc>
          <w:tcPr>
            <w:tcW w:w="3669" w:type="dxa"/>
            <w:gridSpan w:val="3"/>
            <w:vAlign w:val="center"/>
          </w:tcPr>
          <w:p w14:paraId="2C16CA1B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Розміри, мм</w:t>
            </w:r>
          </w:p>
        </w:tc>
        <w:tc>
          <w:tcPr>
            <w:tcW w:w="1588" w:type="dxa"/>
            <w:vMerge w:val="restart"/>
            <w:vAlign w:val="center"/>
          </w:tcPr>
          <w:p w14:paraId="01544421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Спосіб усунення дефекту</w:t>
            </w:r>
          </w:p>
        </w:tc>
      </w:tr>
      <w:tr w:rsidR="00B07EE2" w14:paraId="151EF991" w14:textId="77777777" w:rsidTr="00D10E2A">
        <w:trPr>
          <w:trHeight w:val="300"/>
        </w:trPr>
        <w:tc>
          <w:tcPr>
            <w:tcW w:w="665" w:type="dxa"/>
            <w:vMerge/>
            <w:vAlign w:val="center"/>
          </w:tcPr>
          <w:p w14:paraId="0DD2EB5A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  <w:tc>
          <w:tcPr>
            <w:tcW w:w="2311" w:type="dxa"/>
            <w:vMerge/>
            <w:vAlign w:val="center"/>
          </w:tcPr>
          <w:p w14:paraId="6F9BA3D0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  <w:tc>
          <w:tcPr>
            <w:tcW w:w="1653" w:type="dxa"/>
            <w:vMerge/>
            <w:vAlign w:val="center"/>
          </w:tcPr>
          <w:p w14:paraId="40E84907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2A466756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номінальний</w:t>
            </w:r>
          </w:p>
        </w:tc>
        <w:tc>
          <w:tcPr>
            <w:tcW w:w="2136" w:type="dxa"/>
            <w:gridSpan w:val="2"/>
            <w:vAlign w:val="center"/>
          </w:tcPr>
          <w:p w14:paraId="69F72741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допустимі</w:t>
            </w:r>
          </w:p>
        </w:tc>
        <w:tc>
          <w:tcPr>
            <w:tcW w:w="1588" w:type="dxa"/>
            <w:vMerge/>
            <w:vAlign w:val="center"/>
          </w:tcPr>
          <w:p w14:paraId="49A9E0B9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</w:tr>
      <w:tr w:rsidR="00B07EE2" w14:paraId="14F03788" w14:textId="77777777" w:rsidTr="00D10E2A">
        <w:trPr>
          <w:trHeight w:val="300"/>
        </w:trPr>
        <w:tc>
          <w:tcPr>
            <w:tcW w:w="665" w:type="dxa"/>
            <w:vMerge/>
            <w:vAlign w:val="center"/>
          </w:tcPr>
          <w:p w14:paraId="6058F9C7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  <w:tc>
          <w:tcPr>
            <w:tcW w:w="2311" w:type="dxa"/>
            <w:vMerge/>
            <w:vAlign w:val="center"/>
          </w:tcPr>
          <w:p w14:paraId="507339C8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  <w:tc>
          <w:tcPr>
            <w:tcW w:w="1653" w:type="dxa"/>
            <w:vMerge/>
            <w:vAlign w:val="center"/>
          </w:tcPr>
          <w:p w14:paraId="6F7C9C79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  <w:tc>
          <w:tcPr>
            <w:tcW w:w="1533" w:type="dxa"/>
            <w:vMerge/>
            <w:vAlign w:val="center"/>
          </w:tcPr>
          <w:p w14:paraId="1A8BC09A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  <w:tc>
          <w:tcPr>
            <w:tcW w:w="1068" w:type="dxa"/>
            <w:vAlign w:val="center"/>
          </w:tcPr>
          <w:p w14:paraId="7E68841F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Без ремонту</w:t>
            </w:r>
          </w:p>
        </w:tc>
        <w:tc>
          <w:tcPr>
            <w:tcW w:w="1068" w:type="dxa"/>
            <w:vAlign w:val="center"/>
          </w:tcPr>
          <w:p w14:paraId="0AA1919A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Для ремонту</w:t>
            </w:r>
          </w:p>
        </w:tc>
        <w:tc>
          <w:tcPr>
            <w:tcW w:w="1588" w:type="dxa"/>
            <w:vMerge/>
            <w:vAlign w:val="center"/>
          </w:tcPr>
          <w:p w14:paraId="735B69A1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</w:tr>
      <w:tr w:rsidR="00B07EE2" w14:paraId="1706A2CD" w14:textId="77777777" w:rsidTr="00D10E2A">
        <w:trPr>
          <w:trHeight w:val="250"/>
        </w:trPr>
        <w:tc>
          <w:tcPr>
            <w:tcW w:w="665" w:type="dxa"/>
            <w:vAlign w:val="center"/>
          </w:tcPr>
          <w:p w14:paraId="5E8F2190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1</w:t>
            </w:r>
          </w:p>
        </w:tc>
        <w:tc>
          <w:tcPr>
            <w:tcW w:w="2311" w:type="dxa"/>
            <w:vAlign w:val="center"/>
          </w:tcPr>
          <w:p w14:paraId="34078441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2</w:t>
            </w:r>
          </w:p>
        </w:tc>
        <w:tc>
          <w:tcPr>
            <w:tcW w:w="1653" w:type="dxa"/>
            <w:vAlign w:val="center"/>
          </w:tcPr>
          <w:p w14:paraId="1F697D85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3</w:t>
            </w:r>
          </w:p>
        </w:tc>
        <w:tc>
          <w:tcPr>
            <w:tcW w:w="1223" w:type="dxa"/>
            <w:vAlign w:val="center"/>
          </w:tcPr>
          <w:p w14:paraId="2D010ADE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4</w:t>
            </w:r>
          </w:p>
        </w:tc>
        <w:tc>
          <w:tcPr>
            <w:tcW w:w="1223" w:type="dxa"/>
            <w:vAlign w:val="center"/>
          </w:tcPr>
          <w:p w14:paraId="1C0ABF4B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5</w:t>
            </w:r>
          </w:p>
        </w:tc>
        <w:tc>
          <w:tcPr>
            <w:tcW w:w="1223" w:type="dxa"/>
            <w:vAlign w:val="center"/>
          </w:tcPr>
          <w:p w14:paraId="63594F26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6</w:t>
            </w:r>
          </w:p>
        </w:tc>
        <w:tc>
          <w:tcPr>
            <w:tcW w:w="1588" w:type="dxa"/>
            <w:vAlign w:val="center"/>
          </w:tcPr>
          <w:p w14:paraId="743E59C4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7</w:t>
            </w:r>
          </w:p>
        </w:tc>
      </w:tr>
      <w:tr w:rsidR="00B07EE2" w14:paraId="15278D29" w14:textId="77777777" w:rsidTr="00D10E2A">
        <w:trPr>
          <w:trHeight w:val="1207"/>
        </w:trPr>
        <w:tc>
          <w:tcPr>
            <w:tcW w:w="665" w:type="dxa"/>
            <w:vAlign w:val="center"/>
          </w:tcPr>
          <w:p w14:paraId="74A049D7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1.</w:t>
            </w:r>
          </w:p>
        </w:tc>
        <w:tc>
          <w:tcPr>
            <w:tcW w:w="2311" w:type="dxa"/>
            <w:vAlign w:val="center"/>
          </w:tcPr>
          <w:p w14:paraId="443DC639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Обломи або тріщини будь якого розташування.</w:t>
            </w:r>
          </w:p>
        </w:tc>
        <w:tc>
          <w:tcPr>
            <w:tcW w:w="1653" w:type="dxa"/>
            <w:vAlign w:val="center"/>
          </w:tcPr>
          <w:p w14:paraId="10EA6222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Огляд. Гідравлічні випробування під тиском 0,3…0,4МПа лупа</w:t>
            </w:r>
          </w:p>
        </w:tc>
        <w:tc>
          <w:tcPr>
            <w:tcW w:w="1223" w:type="dxa"/>
            <w:vAlign w:val="center"/>
          </w:tcPr>
          <w:p w14:paraId="0AC37BA3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-</w:t>
            </w:r>
          </w:p>
        </w:tc>
        <w:tc>
          <w:tcPr>
            <w:tcW w:w="1223" w:type="dxa"/>
            <w:vAlign w:val="center"/>
          </w:tcPr>
          <w:p w14:paraId="086AC20F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-</w:t>
            </w:r>
          </w:p>
        </w:tc>
        <w:tc>
          <w:tcPr>
            <w:tcW w:w="1223" w:type="dxa"/>
            <w:vAlign w:val="center"/>
          </w:tcPr>
          <w:p w14:paraId="02A36284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-</w:t>
            </w:r>
          </w:p>
        </w:tc>
        <w:tc>
          <w:tcPr>
            <w:tcW w:w="1588" w:type="dxa"/>
            <w:vAlign w:val="center"/>
          </w:tcPr>
          <w:p w14:paraId="510703BF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Бракування</w:t>
            </w:r>
          </w:p>
        </w:tc>
      </w:tr>
      <w:tr w:rsidR="00B07EE2" w14:paraId="47E4DCCE" w14:textId="77777777" w:rsidTr="00D10E2A">
        <w:trPr>
          <w:trHeight w:val="600"/>
        </w:trPr>
        <w:tc>
          <w:tcPr>
            <w:tcW w:w="665" w:type="dxa"/>
            <w:vMerge w:val="restart"/>
            <w:vAlign w:val="center"/>
          </w:tcPr>
          <w:p w14:paraId="295F0F0D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2</w:t>
            </w:r>
          </w:p>
        </w:tc>
        <w:tc>
          <w:tcPr>
            <w:tcW w:w="2311" w:type="dxa"/>
            <w:vMerge w:val="restart"/>
            <w:vAlign w:val="center"/>
          </w:tcPr>
          <w:p w14:paraId="3ED11F31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Зношення або задирки внутрішньої поверхні.</w:t>
            </w:r>
          </w:p>
        </w:tc>
        <w:tc>
          <w:tcPr>
            <w:tcW w:w="1653" w:type="dxa"/>
            <w:vMerge w:val="restart"/>
            <w:vAlign w:val="center"/>
          </w:tcPr>
          <w:p w14:paraId="77A680DA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Нутромір Н1 100-160</w:t>
            </w:r>
          </w:p>
        </w:tc>
        <w:tc>
          <w:tcPr>
            <w:tcW w:w="1223" w:type="dxa"/>
            <w:vAlign w:val="center"/>
          </w:tcPr>
          <w:p w14:paraId="49AA142B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Cs w:val="24"/>
                        <w:lang w:val="uk-UA" w:bidi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Cs w:val="24"/>
                        <w:lang w:val="uk-UA" w:bidi="uk-UA"/>
                      </w:rPr>
                      <m:t>100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Cs w:val="24"/>
                        <w:lang w:val="uk-UA" w:bidi="uk-UA"/>
                      </w:rPr>
                      <m:t>+0,06</m:t>
                    </m:r>
                  </m:sup>
                </m:sSup>
              </m:oMath>
            </m:oMathPara>
          </w:p>
        </w:tc>
        <w:tc>
          <w:tcPr>
            <w:tcW w:w="1223" w:type="dxa"/>
            <w:vAlign w:val="center"/>
          </w:tcPr>
          <w:p w14:paraId="1CD4A1E5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100,06</w:t>
            </w:r>
          </w:p>
        </w:tc>
        <w:tc>
          <w:tcPr>
            <w:tcW w:w="1223" w:type="dxa"/>
            <w:vAlign w:val="center"/>
          </w:tcPr>
          <w:p w14:paraId="245393BA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Більше 100,06</w:t>
            </w:r>
          </w:p>
        </w:tc>
        <w:tc>
          <w:tcPr>
            <w:tcW w:w="1588" w:type="dxa"/>
            <w:vMerge w:val="restart"/>
            <w:vAlign w:val="center"/>
          </w:tcPr>
          <w:p w14:paraId="35570FA0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Ремонтувати.</w:t>
            </w:r>
          </w:p>
          <w:p w14:paraId="67FF4AC9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Обробити під ремонтний розмір. Бракувати при розмірі більше101,56мм</w:t>
            </w:r>
          </w:p>
        </w:tc>
      </w:tr>
      <w:tr w:rsidR="00B07EE2" w14:paraId="28D79588" w14:textId="77777777" w:rsidTr="00D10E2A">
        <w:trPr>
          <w:trHeight w:val="600"/>
        </w:trPr>
        <w:tc>
          <w:tcPr>
            <w:tcW w:w="665" w:type="dxa"/>
            <w:vMerge/>
            <w:vAlign w:val="center"/>
          </w:tcPr>
          <w:p w14:paraId="31F7B83C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  <w:tc>
          <w:tcPr>
            <w:tcW w:w="2311" w:type="dxa"/>
            <w:vMerge/>
            <w:vAlign w:val="center"/>
          </w:tcPr>
          <w:p w14:paraId="076390C5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  <w:tc>
          <w:tcPr>
            <w:tcW w:w="1653" w:type="dxa"/>
            <w:vMerge/>
            <w:vAlign w:val="center"/>
          </w:tcPr>
          <w:p w14:paraId="11B5872C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  <w:tc>
          <w:tcPr>
            <w:tcW w:w="3669" w:type="dxa"/>
            <w:gridSpan w:val="3"/>
            <w:vAlign w:val="center"/>
          </w:tcPr>
          <w:p w14:paraId="7C0F5FE6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Ремонтні розміри:</w:t>
            </w:r>
          </w:p>
          <w:p w14:paraId="74DEEE3E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m:oMath>
              <m:r>
                <w:rPr>
                  <w:rFonts w:ascii="Cambria Math" w:eastAsiaTheme="minorEastAsia" w:hAnsi="Cambria Math" w:cs="Times New Roman"/>
                  <w:szCs w:val="24"/>
                  <w:lang w:val="uk-UA" w:bidi="uk-UA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4"/>
                      <w:lang w:val="uk-UA" w:bidi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4"/>
                      <w:lang w:val="uk-UA" w:bidi="uk-UA"/>
                    </w:rPr>
                    <m:t>100,5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4"/>
                      <w:lang w:val="uk-UA" w:bidi="uk-UA"/>
                    </w:rPr>
                    <m:t>+0,05</m:t>
                  </m:r>
                </m:sup>
              </m:sSup>
            </m:oMath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;</w:t>
            </w:r>
            <m:oMath>
              <m:r>
                <w:rPr>
                  <w:rFonts w:ascii="Cambria Math" w:eastAsiaTheme="minorEastAsia" w:hAnsi="Cambria Math" w:cs="Times New Roman"/>
                  <w:szCs w:val="24"/>
                  <w:lang w:val="uk-UA" w:bidi="uk-UA"/>
                </w:rPr>
                <m:t>2-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4"/>
                      <w:lang w:val="uk-UA" w:bidi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4"/>
                      <w:lang w:val="uk-UA" w:bidi="uk-UA"/>
                    </w:rPr>
                    <m:t>101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4"/>
                      <w:lang w:val="uk-UA" w:bidi="uk-UA"/>
                    </w:rPr>
                    <m:t>+0,05</m:t>
                  </m:r>
                </m:sup>
              </m:sSup>
            </m:oMath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;</w:t>
            </w:r>
            <m:oMath>
              <m:r>
                <w:rPr>
                  <w:rFonts w:ascii="Cambria Math" w:eastAsiaTheme="minorEastAsia" w:hAnsi="Cambria Math" w:cs="Times New Roman"/>
                  <w:szCs w:val="24"/>
                  <w:lang w:val="uk-UA" w:bidi="uk-UA"/>
                </w:rPr>
                <m:t>3-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4"/>
                      <w:lang w:val="uk-UA" w:bidi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4"/>
                      <w:lang w:val="uk-UA" w:bidi="uk-UA"/>
                    </w:rPr>
                    <m:t>101,5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4"/>
                      <w:lang w:val="uk-UA" w:bidi="uk-UA"/>
                    </w:rPr>
                    <m:t>+0,06</m:t>
                  </m:r>
                </m:sup>
              </m:sSup>
            </m:oMath>
          </w:p>
        </w:tc>
        <w:tc>
          <w:tcPr>
            <w:tcW w:w="1588" w:type="dxa"/>
            <w:vMerge/>
            <w:vAlign w:val="center"/>
          </w:tcPr>
          <w:p w14:paraId="2766ABBF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</w:p>
        </w:tc>
      </w:tr>
      <w:tr w:rsidR="00B07EE2" w14:paraId="696F91BB" w14:textId="77777777" w:rsidTr="00D10E2A">
        <w:trPr>
          <w:trHeight w:val="1207"/>
        </w:trPr>
        <w:tc>
          <w:tcPr>
            <w:tcW w:w="665" w:type="dxa"/>
            <w:vAlign w:val="center"/>
          </w:tcPr>
          <w:p w14:paraId="71903F65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3</w:t>
            </w:r>
          </w:p>
        </w:tc>
        <w:tc>
          <w:tcPr>
            <w:tcW w:w="2311" w:type="dxa"/>
            <w:vAlign w:val="center"/>
          </w:tcPr>
          <w:p w14:paraId="45DD0059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 xml:space="preserve">Зношення нижнього </w:t>
            </w:r>
            <w:r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контактного</w:t>
            </w: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 xml:space="preserve"> пояска</w:t>
            </w:r>
          </w:p>
        </w:tc>
        <w:tc>
          <w:tcPr>
            <w:tcW w:w="1653" w:type="dxa"/>
            <w:vAlign w:val="center"/>
          </w:tcPr>
          <w:p w14:paraId="4A633D82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Мікрометр</w:t>
            </w:r>
          </w:p>
          <w:p w14:paraId="5C3B82A3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МК 125</w:t>
            </w:r>
          </w:p>
          <w:p w14:paraId="720F7BF5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Скоба.</w:t>
            </w:r>
          </w:p>
        </w:tc>
        <w:tc>
          <w:tcPr>
            <w:tcW w:w="1223" w:type="dxa"/>
            <w:vAlign w:val="center"/>
          </w:tcPr>
          <w:p w14:paraId="5713508D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Cs w:val="24"/>
                        <w:lang w:val="uk-UA" w:bidi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Cs w:val="24"/>
                        <w:lang w:val="uk-UA" w:bidi="uk-UA"/>
                      </w:rPr>
                      <m:t>122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4"/>
                        <w:lang w:val="uk-UA" w:bidi="uk-UA"/>
                      </w:rPr>
                      <m:t>-0,04</m:t>
                    </m:r>
                  </m:sub>
                </m:sSub>
              </m:oMath>
            </m:oMathPara>
          </w:p>
        </w:tc>
        <w:tc>
          <w:tcPr>
            <w:tcW w:w="1223" w:type="dxa"/>
            <w:vAlign w:val="center"/>
          </w:tcPr>
          <w:p w14:paraId="1B061674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121,94</w:t>
            </w:r>
          </w:p>
        </w:tc>
        <w:tc>
          <w:tcPr>
            <w:tcW w:w="1223" w:type="dxa"/>
            <w:vAlign w:val="center"/>
          </w:tcPr>
          <w:p w14:paraId="539822D3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-</w:t>
            </w:r>
          </w:p>
        </w:tc>
        <w:tc>
          <w:tcPr>
            <w:tcW w:w="1588" w:type="dxa"/>
            <w:vAlign w:val="center"/>
          </w:tcPr>
          <w:p w14:paraId="0E7CEBD2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Бракувати при розмірі менше 121,94мм</w:t>
            </w:r>
          </w:p>
        </w:tc>
      </w:tr>
      <w:tr w:rsidR="00B07EE2" w14:paraId="5041F0A5" w14:textId="77777777" w:rsidTr="00D10E2A">
        <w:trPr>
          <w:trHeight w:val="1275"/>
        </w:trPr>
        <w:tc>
          <w:tcPr>
            <w:tcW w:w="665" w:type="dxa"/>
            <w:vAlign w:val="center"/>
          </w:tcPr>
          <w:p w14:paraId="7836A6D8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4</w:t>
            </w:r>
          </w:p>
        </w:tc>
        <w:tc>
          <w:tcPr>
            <w:tcW w:w="2311" w:type="dxa"/>
            <w:vAlign w:val="center"/>
          </w:tcPr>
          <w:p w14:paraId="63ABAC98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 xml:space="preserve">Зношення верхнього </w:t>
            </w:r>
            <w:r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контактного</w:t>
            </w: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 xml:space="preserve"> пояска</w:t>
            </w:r>
          </w:p>
        </w:tc>
        <w:tc>
          <w:tcPr>
            <w:tcW w:w="1653" w:type="dxa"/>
            <w:vAlign w:val="center"/>
          </w:tcPr>
          <w:p w14:paraId="4C09346F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Мікрометр</w:t>
            </w:r>
          </w:p>
          <w:p w14:paraId="182D71C6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МК 125</w:t>
            </w:r>
          </w:p>
          <w:p w14:paraId="22727E8A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Скоба.</w:t>
            </w:r>
          </w:p>
        </w:tc>
        <w:tc>
          <w:tcPr>
            <w:tcW w:w="1223" w:type="dxa"/>
            <w:vAlign w:val="center"/>
          </w:tcPr>
          <w:p w14:paraId="1D6D4429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Cs w:val="24"/>
                        <w:lang w:val="uk-UA" w:bidi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Cs w:val="24"/>
                        <w:lang w:val="uk-UA" w:bidi="uk-UA"/>
                      </w:rPr>
                      <m:t>125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4"/>
                        <w:lang w:val="uk-UA" w:bidi="uk-UA"/>
                      </w:rPr>
                      <m:t>-0,04</m:t>
                    </m:r>
                  </m:sub>
                </m:sSub>
              </m:oMath>
            </m:oMathPara>
          </w:p>
        </w:tc>
        <w:tc>
          <w:tcPr>
            <w:tcW w:w="1223" w:type="dxa"/>
            <w:vAlign w:val="center"/>
          </w:tcPr>
          <w:p w14:paraId="03DC8C13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124,94</w:t>
            </w:r>
          </w:p>
        </w:tc>
        <w:tc>
          <w:tcPr>
            <w:tcW w:w="1223" w:type="dxa"/>
            <w:vAlign w:val="center"/>
          </w:tcPr>
          <w:p w14:paraId="3EF66AB4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-</w:t>
            </w:r>
          </w:p>
        </w:tc>
        <w:tc>
          <w:tcPr>
            <w:tcW w:w="1588" w:type="dxa"/>
            <w:vAlign w:val="center"/>
          </w:tcPr>
          <w:p w14:paraId="0E683EE8" w14:textId="77777777" w:rsidR="00B07EE2" w:rsidRPr="003B7D1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</w:pPr>
            <w:r w:rsidRPr="003B7D17">
              <w:rPr>
                <w:rFonts w:ascii="Times New Roman" w:eastAsiaTheme="minorEastAsia" w:hAnsi="Times New Roman" w:cs="Times New Roman"/>
                <w:szCs w:val="24"/>
                <w:lang w:val="uk-UA" w:bidi="uk-UA"/>
              </w:rPr>
              <w:t>Бракувати при розмірі менше 124,94мм</w:t>
            </w:r>
          </w:p>
        </w:tc>
      </w:tr>
    </w:tbl>
    <w:p w14:paraId="0CB9C3C9" w14:textId="77777777" w:rsidR="00B07EE2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D0433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05775" wp14:editId="2857E42B">
                <wp:simplePos x="0" y="0"/>
                <wp:positionH relativeFrom="column">
                  <wp:posOffset>2253615</wp:posOffset>
                </wp:positionH>
                <wp:positionV relativeFrom="paragraph">
                  <wp:posOffset>211455</wp:posOffset>
                </wp:positionV>
                <wp:extent cx="3981450" cy="39243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B617B" w14:textId="77777777" w:rsidR="00B07EE2" w:rsidRPr="00D0433C" w:rsidRDefault="00B07EE2" w:rsidP="00B07EE2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D0433C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1.2 Результати замірів отвору під поршень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94"/>
                              <w:gridCol w:w="1492"/>
                              <w:gridCol w:w="1492"/>
                              <w:gridCol w:w="1495"/>
                            </w:tblGrid>
                            <w:tr w:rsidR="00B07EE2" w:rsidRPr="00D0433C" w14:paraId="76473134" w14:textId="77777777" w:rsidTr="0031195E">
                              <w:trPr>
                                <w:trHeight w:val="761"/>
                              </w:trPr>
                              <w:tc>
                                <w:tcPr>
                                  <w:tcW w:w="1495" w:type="dxa"/>
                                  <w:vMerge w:val="restart"/>
                                  <w:vAlign w:val="center"/>
                                </w:tcPr>
                                <w:p w14:paraId="61F759EA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  <w:r w:rsidRPr="0031195E"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  <w:t>Пояс</w:t>
                                  </w:r>
                                </w:p>
                              </w:tc>
                              <w:tc>
                                <w:tcPr>
                                  <w:tcW w:w="2992" w:type="dxa"/>
                                  <w:gridSpan w:val="2"/>
                                  <w:vAlign w:val="center"/>
                                </w:tcPr>
                                <w:p w14:paraId="6941429E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  <w:r w:rsidRPr="0031195E"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  <w:t>Площина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vMerge w:val="restart"/>
                                  <w:vAlign w:val="center"/>
                                </w:tcPr>
                                <w:p w14:paraId="07A594B9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  <w:t>Ов</w:t>
                                  </w:r>
                                  <w:r w:rsidRPr="0031195E"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  <w:t>альність</w:t>
                                  </w:r>
                                </w:p>
                              </w:tc>
                            </w:tr>
                            <w:tr w:rsidR="00B07EE2" w:rsidRPr="00D0433C" w14:paraId="290EAF91" w14:textId="77777777" w:rsidTr="0031195E">
                              <w:trPr>
                                <w:trHeight w:val="290"/>
                              </w:trPr>
                              <w:tc>
                                <w:tcPr>
                                  <w:tcW w:w="1495" w:type="dxa"/>
                                  <w:vMerge/>
                                  <w:vAlign w:val="center"/>
                                </w:tcPr>
                                <w:p w14:paraId="24379A58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14:paraId="0428DE97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  <w:r w:rsidRPr="0031195E"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  <w:t>А-А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14:paraId="2EEFF84F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  <w:r w:rsidRPr="0031195E"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  <w:t>Б-Б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vMerge/>
                                  <w:vAlign w:val="center"/>
                                </w:tcPr>
                                <w:p w14:paraId="4715C40B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07EE2" w:rsidRPr="00B07EE2" w14:paraId="2ABD4389" w14:textId="77777777" w:rsidTr="0031195E">
                              <w:trPr>
                                <w:trHeight w:val="564"/>
                              </w:trPr>
                              <w:tc>
                                <w:tcPr>
                                  <w:tcW w:w="1495" w:type="dxa"/>
                                  <w:vAlign w:val="center"/>
                                </w:tcPr>
                                <w:p w14:paraId="337211C9" w14:textId="77777777" w:rsidR="00B07EE2" w:rsidRPr="00786396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pl-PL"/>
                                    </w:rPr>
                                  </w:pPr>
                                  <w:r w:rsidRPr="00786396"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pl-PL"/>
                                    </w:rPr>
                                    <w:t>I-I</w:t>
                                  </w:r>
                                </w:p>
                                <w:p w14:paraId="3A212A21" w14:textId="77777777" w:rsidR="00B07EE2" w:rsidRPr="00786396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pl-PL"/>
                                    </w:rPr>
                                  </w:pPr>
                                  <w:r w:rsidRPr="00786396"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pl-PL"/>
                                    </w:rPr>
                                    <w:t>II-II</w:t>
                                  </w:r>
                                </w:p>
                                <w:p w14:paraId="255A1339" w14:textId="77777777" w:rsidR="00B07EE2" w:rsidRPr="00786396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pl-PL"/>
                                    </w:rPr>
                                  </w:pPr>
                                  <w:r w:rsidRPr="00786396"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pl-PL"/>
                                    </w:rPr>
                                    <w:t>III-III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14:paraId="0BA04661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</w:p>
                                <w:p w14:paraId="1EB8B475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14:paraId="2EEFAF57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14:paraId="3C267758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07EE2" w:rsidRPr="00D0433C" w14:paraId="72043B3B" w14:textId="77777777" w:rsidTr="0031195E">
                              <w:trPr>
                                <w:trHeight w:val="206"/>
                              </w:trPr>
                              <w:tc>
                                <w:tcPr>
                                  <w:tcW w:w="1495" w:type="dxa"/>
                                  <w:vAlign w:val="center"/>
                                </w:tcPr>
                                <w:p w14:paraId="39D4AD12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  <w:proofErr w:type="spellStart"/>
                                  <w:r w:rsidRPr="0031195E"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  <w:t>Конусність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14:paraId="2F005E43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14:paraId="3C2CF832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14:paraId="243A776C" w14:textId="77777777" w:rsidR="00B07EE2" w:rsidRPr="0031195E" w:rsidRDefault="00B07EE2" w:rsidP="003119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612DD6" w14:textId="77777777" w:rsidR="00B07EE2" w:rsidRDefault="00B07EE2" w:rsidP="00B07EE2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</w:p>
                          <w:p w14:paraId="562837B1" w14:textId="77777777" w:rsidR="00B07EE2" w:rsidRDefault="00B07EE2" w:rsidP="00B07EE2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ab/>
                              <w:t xml:space="preserve">Розміщення поясів,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площин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зазначено на рис.1.1 :</w:t>
                            </w:r>
                          </w:p>
                          <w:p w14:paraId="5FED700B" w14:textId="77777777" w:rsidR="00B07EE2" w:rsidRDefault="00B07EE2" w:rsidP="00B07EE2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</w:t>
                            </w:r>
                            <w:r w:rsidRPr="003B7D17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– нижче спрацювання від верхнього компресійного кільця,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II</w:t>
                            </w:r>
                            <w:r w:rsidRPr="003B7D17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– посередині гільзи,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III</w:t>
                            </w:r>
                            <w:r w:rsidRPr="003B7D17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III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- 20мм вище нижнього торця гільзи;</w:t>
                            </w:r>
                          </w:p>
                          <w:p w14:paraId="32F041AB" w14:textId="77777777" w:rsidR="00B07EE2" w:rsidRDefault="00B07EE2" w:rsidP="00B07EE2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А-А – в площині обертання кривошипа, </w:t>
                            </w:r>
                          </w:p>
                          <w:p w14:paraId="461417A2" w14:textId="77777777" w:rsidR="00B07EE2" w:rsidRDefault="00B07EE2" w:rsidP="00B07EE2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Б-Б – перпендикулярно площині А-А</w:t>
                            </w:r>
                          </w:p>
                          <w:p w14:paraId="0BDB8BE1" w14:textId="77777777" w:rsidR="00B07EE2" w:rsidRPr="003B7D17" w:rsidRDefault="00B07EE2" w:rsidP="00B07EE2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Контактні пояски міряють в одному поясі (посередині) двох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площин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0577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7.45pt;margin-top:16.65pt;width:313.5pt;height:3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" strokecolor="white [3212]">
                <v:textbox>
                  <w:txbxContent>
                    <w:p w14:paraId="169B617B" w14:textId="77777777" w:rsidR="00B07EE2" w:rsidRPr="00D0433C" w:rsidRDefault="00B07EE2" w:rsidP="00B07EE2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D0433C">
                        <w:rPr>
                          <w:rFonts w:ascii="Times New Roman" w:hAnsi="Times New Roman" w:cs="Times New Roman"/>
                          <w:lang w:val="uk-UA"/>
                        </w:rPr>
                        <w:t>1.2 Результати замірів отвору під поршень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94"/>
                        <w:gridCol w:w="1492"/>
                        <w:gridCol w:w="1492"/>
                        <w:gridCol w:w="1495"/>
                      </w:tblGrid>
                      <w:tr w:rsidR="00B07EE2" w:rsidRPr="00D0433C" w14:paraId="76473134" w14:textId="77777777" w:rsidTr="0031195E">
                        <w:trPr>
                          <w:trHeight w:val="761"/>
                        </w:trPr>
                        <w:tc>
                          <w:tcPr>
                            <w:tcW w:w="1495" w:type="dxa"/>
                            <w:vMerge w:val="restart"/>
                            <w:vAlign w:val="center"/>
                          </w:tcPr>
                          <w:p w14:paraId="61F759EA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  <w:r w:rsidRPr="0031195E"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  <w:t>Пояс</w:t>
                            </w:r>
                          </w:p>
                        </w:tc>
                        <w:tc>
                          <w:tcPr>
                            <w:tcW w:w="2992" w:type="dxa"/>
                            <w:gridSpan w:val="2"/>
                            <w:vAlign w:val="center"/>
                          </w:tcPr>
                          <w:p w14:paraId="6941429E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  <w:r w:rsidRPr="0031195E"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  <w:t>Площина</w:t>
                            </w:r>
                          </w:p>
                        </w:tc>
                        <w:tc>
                          <w:tcPr>
                            <w:tcW w:w="1496" w:type="dxa"/>
                            <w:vMerge w:val="restart"/>
                            <w:vAlign w:val="center"/>
                          </w:tcPr>
                          <w:p w14:paraId="07A594B9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  <w:t>Ов</w:t>
                            </w:r>
                            <w:r w:rsidRPr="0031195E"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  <w:t>альність</w:t>
                            </w:r>
                          </w:p>
                        </w:tc>
                      </w:tr>
                      <w:tr w:rsidR="00B07EE2" w:rsidRPr="00D0433C" w14:paraId="290EAF91" w14:textId="77777777" w:rsidTr="0031195E">
                        <w:trPr>
                          <w:trHeight w:val="290"/>
                        </w:trPr>
                        <w:tc>
                          <w:tcPr>
                            <w:tcW w:w="1495" w:type="dxa"/>
                            <w:vMerge/>
                            <w:vAlign w:val="center"/>
                          </w:tcPr>
                          <w:p w14:paraId="24379A58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vAlign w:val="center"/>
                          </w:tcPr>
                          <w:p w14:paraId="0428DE97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  <w:r w:rsidRPr="0031195E"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  <w:t>А-А</w:t>
                            </w:r>
                          </w:p>
                        </w:tc>
                        <w:tc>
                          <w:tcPr>
                            <w:tcW w:w="1496" w:type="dxa"/>
                            <w:vAlign w:val="center"/>
                          </w:tcPr>
                          <w:p w14:paraId="2EEFF84F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  <w:r w:rsidRPr="0031195E"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  <w:t>Б-Б</w:t>
                            </w:r>
                          </w:p>
                        </w:tc>
                        <w:tc>
                          <w:tcPr>
                            <w:tcW w:w="1496" w:type="dxa"/>
                            <w:vMerge/>
                            <w:vAlign w:val="center"/>
                          </w:tcPr>
                          <w:p w14:paraId="4715C40B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</w:p>
                        </w:tc>
                      </w:tr>
                      <w:tr w:rsidR="00B07EE2" w:rsidRPr="00B07EE2" w14:paraId="2ABD4389" w14:textId="77777777" w:rsidTr="0031195E">
                        <w:trPr>
                          <w:trHeight w:val="564"/>
                        </w:trPr>
                        <w:tc>
                          <w:tcPr>
                            <w:tcW w:w="1495" w:type="dxa"/>
                            <w:vAlign w:val="center"/>
                          </w:tcPr>
                          <w:p w14:paraId="337211C9" w14:textId="77777777" w:rsidR="00B07EE2" w:rsidRPr="00786396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pl-PL"/>
                              </w:rPr>
                            </w:pPr>
                            <w:r w:rsidRPr="00786396">
                              <w:rPr>
                                <w:rFonts w:ascii="Times New Roman" w:hAnsi="Times New Roman" w:cs="Times New Roman"/>
                                <w:sz w:val="20"/>
                                <w:lang w:val="pl-PL"/>
                              </w:rPr>
                              <w:t>I-I</w:t>
                            </w:r>
                          </w:p>
                          <w:p w14:paraId="3A212A21" w14:textId="77777777" w:rsidR="00B07EE2" w:rsidRPr="00786396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pl-PL"/>
                              </w:rPr>
                            </w:pPr>
                            <w:r w:rsidRPr="00786396">
                              <w:rPr>
                                <w:rFonts w:ascii="Times New Roman" w:hAnsi="Times New Roman" w:cs="Times New Roman"/>
                                <w:sz w:val="20"/>
                                <w:lang w:val="pl-PL"/>
                              </w:rPr>
                              <w:t>II-II</w:t>
                            </w:r>
                          </w:p>
                          <w:p w14:paraId="255A1339" w14:textId="77777777" w:rsidR="00B07EE2" w:rsidRPr="00786396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pl-PL"/>
                              </w:rPr>
                            </w:pPr>
                            <w:r w:rsidRPr="00786396">
                              <w:rPr>
                                <w:rFonts w:ascii="Times New Roman" w:hAnsi="Times New Roman" w:cs="Times New Roman"/>
                                <w:sz w:val="20"/>
                                <w:lang w:val="pl-PL"/>
                              </w:rPr>
                              <w:t>III-III</w:t>
                            </w:r>
                          </w:p>
                        </w:tc>
                        <w:tc>
                          <w:tcPr>
                            <w:tcW w:w="1496" w:type="dxa"/>
                            <w:vAlign w:val="center"/>
                          </w:tcPr>
                          <w:p w14:paraId="0BA04661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</w:p>
                          <w:p w14:paraId="1EB8B475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vAlign w:val="center"/>
                          </w:tcPr>
                          <w:p w14:paraId="2EEFAF57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vAlign w:val="center"/>
                          </w:tcPr>
                          <w:p w14:paraId="3C267758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</w:p>
                        </w:tc>
                      </w:tr>
                      <w:tr w:rsidR="00B07EE2" w:rsidRPr="00D0433C" w14:paraId="72043B3B" w14:textId="77777777" w:rsidTr="0031195E">
                        <w:trPr>
                          <w:trHeight w:val="206"/>
                        </w:trPr>
                        <w:tc>
                          <w:tcPr>
                            <w:tcW w:w="1495" w:type="dxa"/>
                            <w:vAlign w:val="center"/>
                          </w:tcPr>
                          <w:p w14:paraId="39D4AD12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  <w:proofErr w:type="spellStart"/>
                            <w:r w:rsidRPr="0031195E"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  <w:t>Конусність</w:t>
                            </w:r>
                            <w:proofErr w:type="spellEnd"/>
                          </w:p>
                        </w:tc>
                        <w:tc>
                          <w:tcPr>
                            <w:tcW w:w="1496" w:type="dxa"/>
                            <w:vAlign w:val="center"/>
                          </w:tcPr>
                          <w:p w14:paraId="2F005E43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vAlign w:val="center"/>
                          </w:tcPr>
                          <w:p w14:paraId="3C2CF832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vAlign w:val="center"/>
                          </w:tcPr>
                          <w:p w14:paraId="243A776C" w14:textId="77777777" w:rsidR="00B07EE2" w:rsidRPr="0031195E" w:rsidRDefault="00B07EE2" w:rsidP="00311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27612DD6" w14:textId="77777777" w:rsidR="00B07EE2" w:rsidRDefault="00B07EE2" w:rsidP="00B07EE2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</w:p>
                    <w:p w14:paraId="562837B1" w14:textId="77777777" w:rsidR="00B07EE2" w:rsidRDefault="00B07EE2" w:rsidP="00B07EE2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ab/>
                        <w:t xml:space="preserve">Розміщення поясів,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площин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зазначено на рис.1.1 :</w:t>
                      </w:r>
                    </w:p>
                    <w:p w14:paraId="5FED700B" w14:textId="77777777" w:rsidR="00B07EE2" w:rsidRDefault="00B07EE2" w:rsidP="00B07EE2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</w:t>
                      </w:r>
                      <w:r w:rsidRPr="003B7D17">
                        <w:rPr>
                          <w:rFonts w:ascii="Times New Roman" w:hAnsi="Times New Roman" w:cs="Times New Roman"/>
                          <w:lang w:val="uk-UA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– нижче спрацювання від верхнього компресійного кільця,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II</w:t>
                      </w:r>
                      <w:r w:rsidRPr="003B7D17">
                        <w:rPr>
                          <w:rFonts w:ascii="Times New Roman" w:hAnsi="Times New Roman" w:cs="Times New Roman"/>
                          <w:lang w:val="uk-UA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II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– посередині гільзи,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III</w:t>
                      </w:r>
                      <w:r w:rsidRPr="003B7D17">
                        <w:rPr>
                          <w:rFonts w:ascii="Times New Roman" w:hAnsi="Times New Roman" w:cs="Times New Roman"/>
                          <w:lang w:val="uk-UA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III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- 20мм вище нижнього торця гільзи;</w:t>
                      </w:r>
                    </w:p>
                    <w:p w14:paraId="32F041AB" w14:textId="77777777" w:rsidR="00B07EE2" w:rsidRDefault="00B07EE2" w:rsidP="00B07EE2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А-А – в площині обертання кривошипа, </w:t>
                      </w:r>
                    </w:p>
                    <w:p w14:paraId="461417A2" w14:textId="77777777" w:rsidR="00B07EE2" w:rsidRDefault="00B07EE2" w:rsidP="00B07EE2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Б-Б – перпендикулярно площині А-А</w:t>
                      </w:r>
                    </w:p>
                    <w:p w14:paraId="0BDB8BE1" w14:textId="77777777" w:rsidR="00B07EE2" w:rsidRPr="003B7D17" w:rsidRDefault="00B07EE2" w:rsidP="00B07EE2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Контактні пояски міряють в одному поясі (посередині) двох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площин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D91618" wp14:editId="793173B4">
            <wp:extent cx="2047875" cy="3775931"/>
            <wp:effectExtent l="0" t="0" r="0" b="0"/>
            <wp:docPr id="3" name="Рисунок 3" descr="C:\Users\Администратор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77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8A154" w14:textId="77777777" w:rsidR="00B07EE2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Рис.1.1. Схема замірів гільзи </w:t>
      </w:r>
    </w:p>
    <w:p w14:paraId="72430876" w14:textId="77777777" w:rsidR="00B07EE2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14:paraId="7371ECE7" w14:textId="6C57757C" w:rsidR="00B07EE2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1.3 Розміри групи гільз циліндрів і поршнів номінального і ремонтних розмірів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2310"/>
        <w:gridCol w:w="2310"/>
        <w:gridCol w:w="2310"/>
      </w:tblGrid>
      <w:tr w:rsidR="00B07EE2" w14:paraId="12DE5EDB" w14:textId="77777777" w:rsidTr="00D10E2A">
        <w:trPr>
          <w:trHeight w:val="889"/>
        </w:trPr>
        <w:tc>
          <w:tcPr>
            <w:tcW w:w="2309" w:type="dxa"/>
            <w:vAlign w:val="center"/>
          </w:tcPr>
          <w:p w14:paraId="749A4E81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Розмір</w:t>
            </w:r>
          </w:p>
        </w:tc>
        <w:tc>
          <w:tcPr>
            <w:tcW w:w="2310" w:type="dxa"/>
            <w:vAlign w:val="center"/>
          </w:tcPr>
          <w:p w14:paraId="5EC29CFA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Діаметр отвору гільзи, мм</w:t>
            </w:r>
          </w:p>
        </w:tc>
        <w:tc>
          <w:tcPr>
            <w:tcW w:w="2310" w:type="dxa"/>
            <w:vAlign w:val="center"/>
          </w:tcPr>
          <w:p w14:paraId="6B0D153C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Діаметр юбки поршня, мм</w:t>
            </w:r>
          </w:p>
        </w:tc>
        <w:tc>
          <w:tcPr>
            <w:tcW w:w="2310" w:type="dxa"/>
            <w:vAlign w:val="center"/>
          </w:tcPr>
          <w:p w14:paraId="6FF486A5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Позначення розмірної групи/ маркування</w:t>
            </w:r>
          </w:p>
        </w:tc>
      </w:tr>
      <w:tr w:rsidR="00B07EE2" w14:paraId="44E5AD9E" w14:textId="77777777" w:rsidTr="00D10E2A">
        <w:trPr>
          <w:trHeight w:val="2255"/>
        </w:trPr>
        <w:tc>
          <w:tcPr>
            <w:tcW w:w="2309" w:type="dxa"/>
            <w:vAlign w:val="center"/>
          </w:tcPr>
          <w:p w14:paraId="77E9B539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Номінальний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100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+0,06</m:t>
                  </m:r>
                </m:sup>
              </m:sSup>
            </m:oMath>
          </w:p>
          <w:p w14:paraId="5BDA385A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100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-0,04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+0,02</m:t>
                    </m:r>
                  </m:sup>
                </m:sSubSup>
              </m:oMath>
            </m:oMathPara>
          </w:p>
        </w:tc>
        <w:tc>
          <w:tcPr>
            <w:tcW w:w="2310" w:type="dxa"/>
            <w:vAlign w:val="center"/>
          </w:tcPr>
          <w:p w14:paraId="5DB0BD38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100,06…100,05</w:t>
            </w:r>
          </w:p>
          <w:p w14:paraId="6057F618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100,05…100,04</w:t>
            </w:r>
          </w:p>
          <w:p w14:paraId="2988CE03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100,04…100,03</w:t>
            </w:r>
          </w:p>
          <w:p w14:paraId="00541406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100,03…100,02</w:t>
            </w:r>
          </w:p>
          <w:p w14:paraId="3490CFDF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100,02…100,01</w:t>
            </w:r>
          </w:p>
          <w:p w14:paraId="32835F80" w14:textId="77777777" w:rsidR="00B07EE2" w:rsidRDefault="00B07EE2" w:rsidP="00B07E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100,01…100,00</w:t>
            </w:r>
          </w:p>
        </w:tc>
        <w:tc>
          <w:tcPr>
            <w:tcW w:w="2310" w:type="dxa"/>
            <w:vAlign w:val="center"/>
          </w:tcPr>
          <w:p w14:paraId="74F39048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100,02…100,01</w:t>
            </w:r>
          </w:p>
          <w:p w14:paraId="3EF311BE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100,01…100,00</w:t>
            </w:r>
          </w:p>
          <w:p w14:paraId="0DFC7BF8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100,00…99,99</w:t>
            </w:r>
          </w:p>
          <w:p w14:paraId="2A2C99AF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99,99…99,98</w:t>
            </w:r>
          </w:p>
          <w:p w14:paraId="0C109815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99,98…99,97</w:t>
            </w:r>
          </w:p>
          <w:p w14:paraId="6C5EDDEF" w14:textId="610E4F4D" w:rsidR="00B07EE2" w:rsidRDefault="00B07EE2" w:rsidP="00B07EE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99,97…99,96</w:t>
            </w:r>
          </w:p>
        </w:tc>
        <w:tc>
          <w:tcPr>
            <w:tcW w:w="2310" w:type="dxa"/>
            <w:vAlign w:val="center"/>
          </w:tcPr>
          <w:p w14:paraId="0E75098C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Е    /А/</w:t>
            </w:r>
          </w:p>
          <w:p w14:paraId="3AFBECBE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Д    /АА/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br/>
              <w:t>Г     /Б/</w:t>
            </w:r>
          </w:p>
          <w:p w14:paraId="6DB6074B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В    /ББ/</w:t>
            </w:r>
          </w:p>
          <w:p w14:paraId="7B42B304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     /В/</w:t>
            </w:r>
          </w:p>
          <w:p w14:paraId="05666963" w14:textId="7D052725" w:rsidR="00B07EE2" w:rsidRDefault="00B07EE2" w:rsidP="00B07EE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А    / ВВ/</w:t>
            </w:r>
          </w:p>
        </w:tc>
      </w:tr>
      <w:tr w:rsidR="00B07EE2" w14:paraId="06677B12" w14:textId="77777777" w:rsidTr="00D10E2A">
        <w:trPr>
          <w:trHeight w:val="2255"/>
        </w:trPr>
        <w:tc>
          <w:tcPr>
            <w:tcW w:w="2309" w:type="dxa"/>
            <w:vAlign w:val="center"/>
          </w:tcPr>
          <w:p w14:paraId="3A425825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Номінальний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100,5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+0,06</m:t>
                  </m:r>
                </m:sup>
              </m:sSup>
            </m:oMath>
          </w:p>
          <w:p w14:paraId="1E3C63CD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100,5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-0,04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+0,02</m:t>
                    </m:r>
                  </m:sup>
                </m:sSubSup>
              </m:oMath>
            </m:oMathPara>
          </w:p>
        </w:tc>
        <w:tc>
          <w:tcPr>
            <w:tcW w:w="2310" w:type="dxa"/>
            <w:vAlign w:val="center"/>
          </w:tcPr>
          <w:p w14:paraId="0DCD7995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100,56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</w:t>
            </w:r>
          </w:p>
          <w:p w14:paraId="1EBDEEE5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100,55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</w:t>
            </w:r>
          </w:p>
          <w:p w14:paraId="77828FA5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100,54…100,5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</w:t>
            </w:r>
          </w:p>
          <w:p w14:paraId="66CD9F94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…100,5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</w:t>
            </w:r>
          </w:p>
          <w:p w14:paraId="796FEDAB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100,5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…100,5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</w:t>
            </w:r>
          </w:p>
          <w:p w14:paraId="55FDB174" w14:textId="77777777" w:rsidR="00B07EE2" w:rsidRDefault="00B07EE2" w:rsidP="00B07E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100,51…100,5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10" w:type="dxa"/>
            <w:vAlign w:val="center"/>
          </w:tcPr>
          <w:p w14:paraId="008DA48F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100,52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100,51</w:t>
            </w:r>
          </w:p>
          <w:p w14:paraId="54EEA743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100,51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100,50</w:t>
            </w:r>
          </w:p>
          <w:p w14:paraId="6293A0B6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100,50…100,49</w:t>
            </w:r>
          </w:p>
          <w:p w14:paraId="54895695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100,49…100,48</w:t>
            </w:r>
          </w:p>
          <w:p w14:paraId="33CB849F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100,48…100,47</w:t>
            </w:r>
          </w:p>
          <w:p w14:paraId="21AB9038" w14:textId="77777777" w:rsidR="00B07EE2" w:rsidRDefault="00B07EE2" w:rsidP="00B07E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100,47…100,46</w:t>
            </w:r>
          </w:p>
        </w:tc>
        <w:tc>
          <w:tcPr>
            <w:tcW w:w="2310" w:type="dxa"/>
            <w:vAlign w:val="center"/>
          </w:tcPr>
          <w:p w14:paraId="4DC8809F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М    /Г/</w:t>
            </w:r>
          </w:p>
          <w:p w14:paraId="1FFB2A28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Л     /ГГ/</w:t>
            </w:r>
          </w:p>
          <w:p w14:paraId="018D0492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К     /Д/</w:t>
            </w:r>
          </w:p>
          <w:p w14:paraId="19F505D2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И     /ДД/</w:t>
            </w:r>
          </w:p>
          <w:p w14:paraId="67ED0648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З      /Е/</w:t>
            </w:r>
          </w:p>
          <w:p w14:paraId="0B16D7F5" w14:textId="77777777" w:rsidR="00B07EE2" w:rsidRDefault="00B07EE2" w:rsidP="00B07EE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Ж    /ЕЕ/</w:t>
            </w:r>
          </w:p>
        </w:tc>
      </w:tr>
      <w:tr w:rsidR="00B07EE2" w14:paraId="4E5D4008" w14:textId="77777777" w:rsidTr="00D10E2A">
        <w:trPr>
          <w:trHeight w:val="2255"/>
        </w:trPr>
        <w:tc>
          <w:tcPr>
            <w:tcW w:w="2309" w:type="dxa"/>
            <w:vAlign w:val="center"/>
          </w:tcPr>
          <w:p w14:paraId="4AE90355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 xml:space="preserve">Номінальний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101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+0,06</m:t>
                  </m:r>
                </m:sup>
              </m:sSup>
            </m:oMath>
          </w:p>
          <w:p w14:paraId="6831AAA5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101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-0,04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+0,02</m:t>
                    </m:r>
                  </m:sup>
                </m:sSubSup>
              </m:oMath>
            </m:oMathPara>
          </w:p>
        </w:tc>
        <w:tc>
          <w:tcPr>
            <w:tcW w:w="2310" w:type="dxa"/>
            <w:vAlign w:val="center"/>
          </w:tcPr>
          <w:p w14:paraId="546C62D1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,06…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,05</w:t>
            </w:r>
          </w:p>
          <w:p w14:paraId="5D17D4D3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,05…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,04</w:t>
            </w:r>
          </w:p>
          <w:p w14:paraId="764C87E1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,04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…101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,03</w:t>
            </w:r>
          </w:p>
          <w:p w14:paraId="7105ABC9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,03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…101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,02</w:t>
            </w:r>
          </w:p>
          <w:p w14:paraId="019C3157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…101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,01</w:t>
            </w:r>
          </w:p>
          <w:p w14:paraId="601D78B2" w14:textId="77777777" w:rsidR="00B07EE2" w:rsidRDefault="00B07EE2" w:rsidP="00B07E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101,01…101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310" w:type="dxa"/>
            <w:vAlign w:val="center"/>
          </w:tcPr>
          <w:p w14:paraId="65AC374E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101,02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101,01</w:t>
            </w:r>
          </w:p>
          <w:p w14:paraId="1AD28D32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101,01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101,00</w:t>
            </w:r>
          </w:p>
          <w:p w14:paraId="1A7F732F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101,00…100,99</w:t>
            </w:r>
          </w:p>
          <w:p w14:paraId="26729882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100,99…100,98</w:t>
            </w:r>
          </w:p>
          <w:p w14:paraId="1551832E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100,98…100,97</w:t>
            </w:r>
          </w:p>
          <w:p w14:paraId="732227EA" w14:textId="77777777" w:rsidR="00B07EE2" w:rsidRDefault="00B07EE2" w:rsidP="00B07E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100,97…100,96</w:t>
            </w:r>
          </w:p>
        </w:tc>
        <w:tc>
          <w:tcPr>
            <w:tcW w:w="2310" w:type="dxa"/>
            <w:vAlign w:val="center"/>
          </w:tcPr>
          <w:p w14:paraId="006242A8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Т    /Ж/</w:t>
            </w:r>
          </w:p>
          <w:p w14:paraId="54A3EA3E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   /ЖЖ/</w:t>
            </w:r>
          </w:p>
          <w:p w14:paraId="2F5E23BE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   /И/</w:t>
            </w:r>
          </w:p>
          <w:p w14:paraId="498E025F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  /ИИ/</w:t>
            </w:r>
          </w:p>
          <w:p w14:paraId="67FDC1E3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О  /К/</w:t>
            </w:r>
          </w:p>
          <w:p w14:paraId="1E8E263A" w14:textId="10A87ECC" w:rsidR="00B07EE2" w:rsidRDefault="00B07EE2" w:rsidP="00B07EE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  /КК/</w:t>
            </w:r>
          </w:p>
        </w:tc>
      </w:tr>
      <w:tr w:rsidR="00B07EE2" w14:paraId="44266CBC" w14:textId="77777777" w:rsidTr="00D10E2A">
        <w:trPr>
          <w:trHeight w:val="2381"/>
        </w:trPr>
        <w:tc>
          <w:tcPr>
            <w:tcW w:w="2309" w:type="dxa"/>
            <w:vAlign w:val="center"/>
          </w:tcPr>
          <w:p w14:paraId="6A6E5F40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Номінальний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101,5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+0,06</m:t>
                  </m:r>
                </m:sup>
              </m:sSup>
            </m:oMath>
          </w:p>
          <w:p w14:paraId="27490D1E" w14:textId="77777777" w:rsidR="00B07EE2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101,5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-0,04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+0,02</m:t>
                    </m:r>
                  </m:sup>
                </m:sSubSup>
              </m:oMath>
            </m:oMathPara>
          </w:p>
        </w:tc>
        <w:tc>
          <w:tcPr>
            <w:tcW w:w="2310" w:type="dxa"/>
            <w:vAlign w:val="center"/>
          </w:tcPr>
          <w:p w14:paraId="3888FCD5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6…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</w:t>
            </w:r>
          </w:p>
          <w:p w14:paraId="7A585569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</w:t>
            </w:r>
          </w:p>
          <w:p w14:paraId="29D19BC6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…101,5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</w:t>
            </w:r>
          </w:p>
          <w:p w14:paraId="6951D3DE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…101,5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</w:t>
            </w:r>
          </w:p>
          <w:p w14:paraId="0339DCCB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…101,5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</w:t>
            </w:r>
          </w:p>
          <w:p w14:paraId="5DD815DC" w14:textId="77777777" w:rsidR="00B07EE2" w:rsidRDefault="00B07EE2" w:rsidP="00B07E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101,51…101,5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10" w:type="dxa"/>
            <w:vAlign w:val="center"/>
          </w:tcPr>
          <w:p w14:paraId="45CB8904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101,52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101,51</w:t>
            </w:r>
          </w:p>
          <w:p w14:paraId="2C54451B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101,51</w:t>
            </w:r>
            <w:r w:rsidRPr="00F945B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101,50</w:t>
            </w:r>
          </w:p>
          <w:p w14:paraId="37EBF0CE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101,50…101,49</w:t>
            </w:r>
          </w:p>
          <w:p w14:paraId="7181DA10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101,49…101,48</w:t>
            </w:r>
          </w:p>
          <w:p w14:paraId="1D977FBE" w14:textId="77777777" w:rsidR="00B07EE2" w:rsidRPr="00F945B7" w:rsidRDefault="00B07EE2" w:rsidP="00D10E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101,48…101,47</w:t>
            </w:r>
          </w:p>
          <w:p w14:paraId="580C4D1A" w14:textId="77777777" w:rsidR="00B07EE2" w:rsidRDefault="00B07EE2" w:rsidP="00B07EE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101,47…101,46</w:t>
            </w:r>
          </w:p>
        </w:tc>
        <w:tc>
          <w:tcPr>
            <w:tcW w:w="2310" w:type="dxa"/>
            <w:vAlign w:val="center"/>
          </w:tcPr>
          <w:p w14:paraId="6AF6B74F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 /Л/</w:t>
            </w:r>
          </w:p>
          <w:p w14:paraId="15E33BE0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 /ЛЛ/</w:t>
            </w:r>
          </w:p>
          <w:p w14:paraId="497CC2B0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 /М/</w:t>
            </w:r>
          </w:p>
          <w:p w14:paraId="5245AA43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 /ММ/</w:t>
            </w:r>
          </w:p>
          <w:p w14:paraId="55A19B63" w14:textId="77777777" w:rsidR="00B07EE2" w:rsidRDefault="00B07EE2" w:rsidP="00D10E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 /Н/</w:t>
            </w:r>
          </w:p>
          <w:p w14:paraId="33D31702" w14:textId="77777777" w:rsidR="00B07EE2" w:rsidRDefault="00B07EE2" w:rsidP="00B07EE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 /НН/</w:t>
            </w:r>
          </w:p>
        </w:tc>
      </w:tr>
    </w:tbl>
    <w:p w14:paraId="0570571F" w14:textId="2B150930" w:rsidR="00B07EE2" w:rsidRDefault="00B07EE2" w:rsidP="00B07EE2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Маркування групи наносять на гільзи - на верхньому торці, поршня – на днищі. Однією літерою поршні і гільзи ранніх випусків.</w:t>
      </w:r>
    </w:p>
    <w:p w14:paraId="6D1EECB0" w14:textId="77777777" w:rsidR="00B07EE2" w:rsidRPr="009365C4" w:rsidRDefault="00B07EE2" w:rsidP="00B07EE2">
      <w:pPr>
        <w:jc w:val="center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365C4">
        <w:rPr>
          <w:rFonts w:ascii="Times New Roman" w:eastAsiaTheme="minorEastAsia" w:hAnsi="Times New Roman" w:cs="Times New Roman"/>
          <w:sz w:val="24"/>
          <w:szCs w:val="24"/>
          <w:lang w:val="uk-UA"/>
        </w:rPr>
        <w:t>Контрольні запитання.</w:t>
      </w:r>
    </w:p>
    <w:p w14:paraId="566B0E34" w14:textId="77777777" w:rsidR="00B07EE2" w:rsidRPr="009365C4" w:rsidRDefault="00B07EE2" w:rsidP="00B07EE2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365C4">
        <w:rPr>
          <w:rFonts w:ascii="Times New Roman" w:eastAsiaTheme="minorEastAsia" w:hAnsi="Times New Roman" w:cs="Times New Roman"/>
          <w:sz w:val="24"/>
          <w:szCs w:val="24"/>
          <w:lang w:val="uk-UA"/>
        </w:rPr>
        <w:t>Які існують засоби контролю прикованих дефектів?</w:t>
      </w:r>
    </w:p>
    <w:p w14:paraId="640CBAE1" w14:textId="77777777" w:rsidR="00B07EE2" w:rsidRPr="009365C4" w:rsidRDefault="00B07EE2" w:rsidP="00B07EE2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365C4">
        <w:rPr>
          <w:rFonts w:ascii="Times New Roman" w:eastAsiaTheme="minorEastAsia" w:hAnsi="Times New Roman" w:cs="Times New Roman"/>
          <w:sz w:val="24"/>
          <w:szCs w:val="24"/>
          <w:lang w:val="uk-UA"/>
        </w:rPr>
        <w:t>Переваги та недопіки ульт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развукового засобу контролю?</w:t>
      </w:r>
    </w:p>
    <w:p w14:paraId="576A2958" w14:textId="77777777" w:rsidR="00B07EE2" w:rsidRDefault="00B07EE2" w:rsidP="00B07EE2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365C4">
        <w:rPr>
          <w:rFonts w:ascii="Times New Roman" w:eastAsiaTheme="minorEastAsia" w:hAnsi="Times New Roman" w:cs="Times New Roman"/>
          <w:sz w:val="24"/>
          <w:szCs w:val="24"/>
          <w:lang w:val="uk-UA"/>
        </w:rPr>
        <w:t>Для яких автомобі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льних деталей більш раціональній</w:t>
      </w:r>
      <w:r w:rsidRPr="009365C4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засіб ультразвукового контролю?</w:t>
      </w:r>
    </w:p>
    <w:p w14:paraId="1EC10C7B" w14:textId="77777777" w:rsidR="00B07EE2" w:rsidRDefault="00B07EE2" w:rsidP="00B07EE2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365C4">
        <w:rPr>
          <w:rFonts w:ascii="Times New Roman" w:eastAsiaTheme="minorEastAsia" w:hAnsi="Times New Roman" w:cs="Times New Roman"/>
          <w:iCs/>
          <w:sz w:val="24"/>
          <w:szCs w:val="24"/>
          <w:lang w:val="uk-UA"/>
        </w:rPr>
        <w:t>Я</w:t>
      </w:r>
      <w:r w:rsidRPr="009365C4">
        <w:rPr>
          <w:rFonts w:ascii="Times New Roman" w:eastAsiaTheme="minorEastAsia" w:hAnsi="Times New Roman" w:cs="Times New Roman"/>
          <w:i/>
          <w:iCs/>
          <w:sz w:val="24"/>
          <w:szCs w:val="24"/>
          <w:lang w:val="uk-UA"/>
        </w:rPr>
        <w:t>к</w:t>
      </w:r>
      <w:r w:rsidRPr="009365C4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впливає матеріал деталі на вибір засо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бу контролю прихованих дефектів?</w:t>
      </w:r>
    </w:p>
    <w:p w14:paraId="6F0899A8" w14:textId="77777777" w:rsidR="00B07EE2" w:rsidRDefault="00B07EE2" w:rsidP="00B07EE2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Які характерні дефекти гільз циліндрів?</w:t>
      </w:r>
    </w:p>
    <w:p w14:paraId="37FBAD1B" w14:textId="77777777" w:rsidR="00B07EE2" w:rsidRDefault="00B07EE2" w:rsidP="00B07EE2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365C4">
        <w:rPr>
          <w:rFonts w:ascii="Times New Roman" w:eastAsiaTheme="minorEastAsia" w:hAnsi="Times New Roman" w:cs="Times New Roman"/>
          <w:sz w:val="24"/>
          <w:szCs w:val="24"/>
          <w:lang w:val="uk-UA"/>
        </w:rPr>
        <w:t>Засоби виявлення дефектів.</w:t>
      </w:r>
    </w:p>
    <w:p w14:paraId="4D2CAE03" w14:textId="77777777" w:rsidR="00B07EE2" w:rsidRDefault="00B07EE2" w:rsidP="00B07EE2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365C4">
        <w:rPr>
          <w:rFonts w:ascii="Times New Roman" w:eastAsiaTheme="minorEastAsia" w:hAnsi="Times New Roman" w:cs="Times New Roman"/>
          <w:sz w:val="24"/>
          <w:szCs w:val="24"/>
          <w:lang w:val="uk-UA"/>
        </w:rPr>
        <w:t>Засоби усунення дефектів.</w:t>
      </w:r>
    </w:p>
    <w:p w14:paraId="461C94B0" w14:textId="77777777" w:rsidR="00B07EE2" w:rsidRDefault="00B07EE2" w:rsidP="00B07EE2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365C4">
        <w:rPr>
          <w:rFonts w:ascii="Times New Roman" w:eastAsiaTheme="minorEastAsia" w:hAnsi="Times New Roman" w:cs="Times New Roman"/>
          <w:sz w:val="24"/>
          <w:szCs w:val="24"/>
          <w:lang w:val="uk-UA"/>
        </w:rPr>
        <w:t>Номінальні та ремонти розміри гільз.</w:t>
      </w:r>
    </w:p>
    <w:p w14:paraId="5180F77B" w14:textId="77777777" w:rsidR="00B07EE2" w:rsidRDefault="00B07EE2" w:rsidP="00B07EE2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365C4">
        <w:rPr>
          <w:rFonts w:ascii="Times New Roman" w:eastAsiaTheme="minorEastAsia" w:hAnsi="Times New Roman" w:cs="Times New Roman"/>
          <w:sz w:val="24"/>
          <w:szCs w:val="24"/>
          <w:lang w:val="uk-UA"/>
        </w:rPr>
        <w:t>Вимоги до точності розмірів і шо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рсткості поверхні під поршень.</w:t>
      </w:r>
    </w:p>
    <w:p w14:paraId="5BA317D4" w14:textId="77777777" w:rsidR="00B07EE2" w:rsidRDefault="00B07EE2" w:rsidP="00B07EE2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365C4">
        <w:rPr>
          <w:rFonts w:ascii="Times New Roman" w:eastAsiaTheme="minorEastAsia" w:hAnsi="Times New Roman" w:cs="Times New Roman"/>
          <w:sz w:val="24"/>
          <w:szCs w:val="24"/>
          <w:lang w:val="uk-UA"/>
        </w:rPr>
        <w:t>Розміри групи для спряження гільза - поршень.</w:t>
      </w:r>
    </w:p>
    <w:p w14:paraId="1AD5FA4F" w14:textId="77777777" w:rsidR="00B07EE2" w:rsidRPr="009365C4" w:rsidRDefault="00B07EE2" w:rsidP="00B07EE2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Яке м</w:t>
      </w:r>
      <w:r w:rsidRPr="009365C4">
        <w:rPr>
          <w:rFonts w:ascii="Times New Roman" w:eastAsiaTheme="minorEastAsia" w:hAnsi="Times New Roman" w:cs="Times New Roman"/>
          <w:sz w:val="24"/>
          <w:szCs w:val="24"/>
          <w:lang w:val="uk-UA"/>
        </w:rPr>
        <w:t>аркірування розмірних груп.</w:t>
      </w:r>
    </w:p>
    <w:p w14:paraId="5F3D1978" w14:textId="77777777" w:rsidR="00E319F1" w:rsidRDefault="00E319F1"/>
    <w:sectPr w:rsidR="00E3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218A61ED"/>
    <w:multiLevelType w:val="hybridMultilevel"/>
    <w:tmpl w:val="1956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81"/>
    <w:rsid w:val="00061481"/>
    <w:rsid w:val="00A05047"/>
    <w:rsid w:val="00B07EE2"/>
    <w:rsid w:val="00E3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476C"/>
  <w15:chartTrackingRefBased/>
  <w15:docId w15:val="{93209E93-6B6C-48CA-A669-68AD70C6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E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07E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07E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7EE2"/>
    <w:pPr>
      <w:widowControl w:val="0"/>
      <w:shd w:val="clear" w:color="auto" w:fill="FFFFFF"/>
      <w:spacing w:before="540" w:after="0" w:line="240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B07EE2"/>
    <w:pPr>
      <w:widowControl w:val="0"/>
      <w:shd w:val="clear" w:color="auto" w:fill="FFFFFF"/>
      <w:spacing w:after="0" w:line="240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B0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1485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3</cp:revision>
  <dcterms:created xsi:type="dcterms:W3CDTF">2023-02-10T10:57:00Z</dcterms:created>
  <dcterms:modified xsi:type="dcterms:W3CDTF">2023-02-10T11:01:00Z</dcterms:modified>
</cp:coreProperties>
</file>