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7" w:rsidRDefault="008C37F2" w:rsidP="00D510E8">
      <w:pPr>
        <w:spacing w:after="60" w:line="240" w:lineRule="auto"/>
        <w:jc w:val="center"/>
        <w:rPr>
          <w:u w:val="single"/>
          <w:vertAlign w:val="subscript"/>
        </w:rPr>
      </w:pPr>
      <w:r w:rsidRPr="00C57A50">
        <w:rPr>
          <w:b/>
        </w:rPr>
        <w:t xml:space="preserve">Вітаю. Шановна державна екзаменаційна комісія. На Ваш розгляд представлено атестаційну магістерську роботу студента групи </w:t>
      </w:r>
      <w:r w:rsidRPr="008C37F2">
        <w:rPr>
          <w:u w:val="single"/>
          <w:vertAlign w:val="subscript"/>
        </w:rPr>
        <w:t>шифр групи</w:t>
      </w:r>
      <w:r w:rsidRPr="008C37F2">
        <w:rPr>
          <w:u w:val="single"/>
          <w:vertAlign w:val="subscript"/>
          <w:lang w:val="ru-RU"/>
        </w:rPr>
        <w:t>,</w:t>
      </w:r>
      <w:r w:rsidRPr="008C37F2">
        <w:rPr>
          <w:u w:val="single"/>
          <w:vertAlign w:val="subscript"/>
        </w:rPr>
        <w:t xml:space="preserve"> </w:t>
      </w:r>
      <w:proofErr w:type="spellStart"/>
      <w:r w:rsidRPr="008C37F2">
        <w:rPr>
          <w:u w:val="single"/>
          <w:vertAlign w:val="subscript"/>
        </w:rPr>
        <w:t>призвище</w:t>
      </w:r>
      <w:proofErr w:type="spellEnd"/>
      <w:r w:rsidRPr="008C37F2">
        <w:rPr>
          <w:u w:val="single"/>
          <w:vertAlign w:val="subscript"/>
        </w:rPr>
        <w:t xml:space="preserve">, </w:t>
      </w:r>
      <w:proofErr w:type="spellStart"/>
      <w:r w:rsidRPr="008C37F2">
        <w:rPr>
          <w:u w:val="single"/>
          <w:vertAlign w:val="subscript"/>
        </w:rPr>
        <w:t>ім</w:t>
      </w:r>
      <w:proofErr w:type="spellEnd"/>
      <w:r w:rsidRPr="008C37F2">
        <w:rPr>
          <w:u w:val="single"/>
          <w:vertAlign w:val="subscript"/>
          <w:lang w:val="ru-RU"/>
        </w:rPr>
        <w:t>’</w:t>
      </w:r>
      <w:r w:rsidRPr="008C37F2">
        <w:rPr>
          <w:u w:val="single"/>
          <w:vertAlign w:val="subscript"/>
        </w:rPr>
        <w:t>я, по-батькові студента</w:t>
      </w:r>
      <w:r>
        <w:rPr>
          <w:u w:val="single"/>
          <w:vertAlign w:val="subscript"/>
        </w:rPr>
        <w:t xml:space="preserve"> </w:t>
      </w:r>
      <w:r w:rsidR="00C57A50">
        <w:rPr>
          <w:u w:val="single"/>
          <w:vertAlign w:val="subscript"/>
        </w:rPr>
        <w:t xml:space="preserve"> </w:t>
      </w:r>
      <w:r w:rsidRPr="00C57A50">
        <w:rPr>
          <w:b/>
        </w:rPr>
        <w:t>на тему:</w:t>
      </w:r>
      <w:r>
        <w:rPr>
          <w:u w:val="single"/>
          <w:vertAlign w:val="subscript"/>
        </w:rPr>
        <w:t xml:space="preserve"> тема магістерської атестаційної роботи.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9163"/>
      </w:tblGrid>
      <w:tr w:rsidR="008C37F2" w:rsidTr="00692C44">
        <w:tc>
          <w:tcPr>
            <w:tcW w:w="1577" w:type="dxa"/>
          </w:tcPr>
          <w:p w:rsidR="008C37F2" w:rsidRPr="000E4AF7" w:rsidRDefault="00E81D78" w:rsidP="00DA4919">
            <w:pPr>
              <w:jc w:val="center"/>
              <w:rPr>
                <w:i/>
                <w:sz w:val="18"/>
                <w:szCs w:val="18"/>
              </w:rPr>
            </w:pPr>
            <w:r w:rsidRPr="000E4AF7">
              <w:rPr>
                <w:i/>
                <w:sz w:val="18"/>
                <w:szCs w:val="18"/>
              </w:rPr>
              <w:t xml:space="preserve">Назва </w:t>
            </w:r>
            <w:r w:rsidR="00DA4919" w:rsidRPr="000E4AF7">
              <w:rPr>
                <w:i/>
                <w:sz w:val="18"/>
                <w:szCs w:val="18"/>
              </w:rPr>
              <w:t xml:space="preserve">пункту </w:t>
            </w:r>
            <w:r w:rsidRPr="000E4AF7">
              <w:rPr>
                <w:i/>
                <w:sz w:val="18"/>
                <w:szCs w:val="18"/>
              </w:rPr>
              <w:t>виступу</w:t>
            </w:r>
          </w:p>
        </w:tc>
        <w:tc>
          <w:tcPr>
            <w:tcW w:w="9163" w:type="dxa"/>
          </w:tcPr>
          <w:p w:rsidR="008C37F2" w:rsidRPr="000E4AF7" w:rsidRDefault="00DA4919" w:rsidP="00E81D78">
            <w:pPr>
              <w:jc w:val="center"/>
              <w:rPr>
                <w:i/>
                <w:sz w:val="18"/>
                <w:szCs w:val="18"/>
              </w:rPr>
            </w:pPr>
            <w:r w:rsidRPr="000E4AF7">
              <w:rPr>
                <w:i/>
                <w:sz w:val="18"/>
                <w:szCs w:val="18"/>
              </w:rPr>
              <w:t>Зміст (для прикладу)</w:t>
            </w:r>
          </w:p>
        </w:tc>
      </w:tr>
      <w:tr w:rsidR="00E81D78" w:rsidTr="00692C44">
        <w:tc>
          <w:tcPr>
            <w:tcW w:w="1577" w:type="dxa"/>
          </w:tcPr>
          <w:p w:rsidR="00E81D78" w:rsidRPr="008C37F2" w:rsidRDefault="00E81D78" w:rsidP="00E81D78">
            <w:pPr>
              <w:jc w:val="both"/>
              <w:rPr>
                <w:i/>
              </w:rPr>
            </w:pPr>
            <w:r w:rsidRPr="008C37F2">
              <w:rPr>
                <w:i/>
              </w:rPr>
              <w:t xml:space="preserve">Вступ. Визначення актуальності </w:t>
            </w:r>
            <w:r>
              <w:rPr>
                <w:i/>
              </w:rPr>
              <w:t>теми</w:t>
            </w:r>
            <w:r w:rsidRPr="008C37F2">
              <w:rPr>
                <w:i/>
              </w:rPr>
              <w:t>:</w:t>
            </w:r>
          </w:p>
        </w:tc>
        <w:tc>
          <w:tcPr>
            <w:tcW w:w="9163" w:type="dxa"/>
          </w:tcPr>
          <w:p w:rsidR="00E81D78" w:rsidRPr="00C57A50" w:rsidRDefault="00E81D78" w:rsidP="000C0698">
            <w:pPr>
              <w:jc w:val="both"/>
              <w:rPr>
                <w:i/>
              </w:rPr>
            </w:pPr>
            <w:r w:rsidRPr="00C57A50">
              <w:rPr>
                <w:i/>
              </w:rPr>
              <w:t xml:space="preserve">Одним з розповсюджених видів обробки на токарних верстатах є обробка нежорстким консольним інструментальним оснащенням, до якого відносяться оправки, різцетримачі, борштанги та ін. Особливістю обробки консольним інструментом є </w:t>
            </w:r>
            <w:r>
              <w:rPr>
                <w:i/>
              </w:rPr>
              <w:t>…</w:t>
            </w:r>
          </w:p>
          <w:p w:rsidR="00E81D78" w:rsidRDefault="00E81D78" w:rsidP="000C0698">
            <w:pPr>
              <w:jc w:val="both"/>
            </w:pPr>
            <w:r w:rsidRPr="00C57A50">
              <w:rPr>
                <w:i/>
              </w:rPr>
              <w:t xml:space="preserve">При токарній обробці нежорстким консольним інструментом боротьба з шкідливими коливаннями є особливо актуальною. До виникнення шкідливих вібрацій </w:t>
            </w:r>
            <w:r>
              <w:rPr>
                <w:i/>
              </w:rPr>
              <w:t>…</w:t>
            </w:r>
            <w:r>
              <w:t xml:space="preserve"> </w:t>
            </w:r>
          </w:p>
        </w:tc>
      </w:tr>
      <w:tr w:rsidR="00E81D78" w:rsidTr="00692C44">
        <w:tc>
          <w:tcPr>
            <w:tcW w:w="1577" w:type="dxa"/>
          </w:tcPr>
          <w:p w:rsidR="00E81D78" w:rsidRPr="008C37F2" w:rsidRDefault="00E81D78" w:rsidP="00D510E8">
            <w:pPr>
              <w:jc w:val="both"/>
              <w:rPr>
                <w:i/>
              </w:rPr>
            </w:pPr>
            <w:r w:rsidRPr="008C37F2">
              <w:rPr>
                <w:i/>
              </w:rPr>
              <w:t>Мета роботи</w:t>
            </w:r>
            <w:r>
              <w:rPr>
                <w:i/>
              </w:rPr>
              <w:t>:</w:t>
            </w:r>
          </w:p>
        </w:tc>
        <w:tc>
          <w:tcPr>
            <w:tcW w:w="9163" w:type="dxa"/>
          </w:tcPr>
          <w:p w:rsidR="00E81D78" w:rsidRDefault="00E81D78" w:rsidP="00D510E8">
            <w:pPr>
              <w:jc w:val="both"/>
            </w:pPr>
            <w:r w:rsidRPr="00C57A50">
              <w:rPr>
                <w:b/>
              </w:rPr>
              <w:t>Метою роботи є</w:t>
            </w:r>
            <w:r>
              <w:t xml:space="preserve"> </w:t>
            </w:r>
            <w:r w:rsidRPr="00C57A50">
              <w:rPr>
                <w:i/>
              </w:rPr>
              <w:t>підвищення вібростійкості процесу розточування на токарних верстатах шляхом теоретичного та експериментального дослідження статичних та динамічних характеристик борштанг і визначення на основі отриманих результатів напрямків підвищення режимів вібростійкого розточування.</w:t>
            </w:r>
          </w:p>
        </w:tc>
      </w:tr>
      <w:tr w:rsidR="00E81D78" w:rsidTr="00692C44">
        <w:tc>
          <w:tcPr>
            <w:tcW w:w="1577" w:type="dxa"/>
          </w:tcPr>
          <w:p w:rsidR="00E81D78" w:rsidRDefault="00E81D78" w:rsidP="00D510E8">
            <w:r>
              <w:t>Задачі роботи:</w:t>
            </w:r>
          </w:p>
        </w:tc>
        <w:tc>
          <w:tcPr>
            <w:tcW w:w="9163" w:type="dxa"/>
          </w:tcPr>
          <w:p w:rsidR="00E81D78" w:rsidRPr="00C57A50" w:rsidRDefault="00E81D78" w:rsidP="00D510E8">
            <w:pPr>
              <w:jc w:val="both"/>
              <w:rPr>
                <w:b/>
              </w:rPr>
            </w:pPr>
            <w:r w:rsidRPr="00C57A50">
              <w:rPr>
                <w:b/>
              </w:rPr>
              <w:t>Для досягнення  вказаної мети поставлені задачі:</w:t>
            </w:r>
          </w:p>
          <w:p w:rsidR="00E81D78" w:rsidRPr="00FA7DBC" w:rsidRDefault="00E81D78" w:rsidP="00D510E8">
            <w:pPr>
              <w:jc w:val="both"/>
              <w:rPr>
                <w:i/>
              </w:rPr>
            </w:pPr>
            <w:r>
              <w:t xml:space="preserve">- </w:t>
            </w:r>
            <w:r w:rsidRPr="00FA7DBC">
              <w:rPr>
                <w:i/>
              </w:rPr>
              <w:t>проаналізувати можливість підвищення продуктивності обробки…;</w:t>
            </w:r>
          </w:p>
          <w:p w:rsidR="00E81D78" w:rsidRPr="00FA7DBC" w:rsidRDefault="00E81D78" w:rsidP="00D510E8">
            <w:pPr>
              <w:jc w:val="both"/>
              <w:rPr>
                <w:i/>
              </w:rPr>
            </w:pPr>
            <w:r w:rsidRPr="00FA7DBC">
              <w:rPr>
                <w:i/>
              </w:rPr>
              <w:t>- розробити методику, спроектувати і виготовити стенд …;</w:t>
            </w:r>
          </w:p>
          <w:p w:rsidR="00E81D78" w:rsidRPr="00FA7DBC" w:rsidRDefault="00E81D78" w:rsidP="00D510E8">
            <w:pPr>
              <w:jc w:val="both"/>
              <w:rPr>
                <w:i/>
              </w:rPr>
            </w:pPr>
            <w:r w:rsidRPr="00FA7DBC">
              <w:rPr>
                <w:i/>
              </w:rPr>
              <w:t>- розробити скінчено - елементну модель стенду та експериментально перевірити…;</w:t>
            </w:r>
          </w:p>
          <w:p w:rsidR="00E81D78" w:rsidRPr="00FA7DBC" w:rsidRDefault="00E81D78" w:rsidP="00D510E8">
            <w:pPr>
              <w:jc w:val="both"/>
              <w:rPr>
                <w:i/>
              </w:rPr>
            </w:pPr>
            <w:r w:rsidRPr="00FA7DBC">
              <w:rPr>
                <w:i/>
              </w:rPr>
              <w:t>- розробити способи зменшення амплітуд коливань…;</w:t>
            </w:r>
          </w:p>
          <w:p w:rsidR="00E81D78" w:rsidRDefault="00E81D78" w:rsidP="00D510E8">
            <w:pPr>
              <w:jc w:val="both"/>
            </w:pPr>
            <w:r w:rsidRPr="00FA7DBC">
              <w:rPr>
                <w:i/>
              </w:rPr>
              <w:t xml:space="preserve">- розробити практичні рекомендації щодо впровадження результатів </w:t>
            </w:r>
            <w:r>
              <w:rPr>
                <w:i/>
              </w:rPr>
              <w:t>роботи</w:t>
            </w:r>
            <w:r w:rsidRPr="00FA7DBC">
              <w:rPr>
                <w:i/>
              </w:rPr>
              <w:t xml:space="preserve"> для ….</w:t>
            </w:r>
          </w:p>
        </w:tc>
      </w:tr>
      <w:tr w:rsidR="00E81D78" w:rsidTr="00692C44">
        <w:tc>
          <w:tcPr>
            <w:tcW w:w="1577" w:type="dxa"/>
          </w:tcPr>
          <w:p w:rsidR="00E81D78" w:rsidRPr="00FA7DBC" w:rsidRDefault="00E81D78" w:rsidP="00D510E8">
            <w:pPr>
              <w:jc w:val="both"/>
              <w:rPr>
                <w:i/>
              </w:rPr>
            </w:pPr>
            <w:r w:rsidRPr="00FA7DBC">
              <w:rPr>
                <w:i/>
              </w:rPr>
              <w:t>Об’єкт дослідження:</w:t>
            </w:r>
          </w:p>
        </w:tc>
        <w:tc>
          <w:tcPr>
            <w:tcW w:w="9163" w:type="dxa"/>
          </w:tcPr>
          <w:p w:rsidR="00E81D78" w:rsidRPr="000B0339" w:rsidRDefault="00E81D78" w:rsidP="00A20E09">
            <w:pPr>
              <w:jc w:val="both"/>
            </w:pPr>
            <w:r w:rsidRPr="00C57A50">
              <w:rPr>
                <w:b/>
              </w:rPr>
              <w:t>Об’єктом дослідження роботи є</w:t>
            </w:r>
            <w:r>
              <w:t xml:space="preserve"> </w:t>
            </w:r>
            <w:r w:rsidRPr="00A20E09">
              <w:rPr>
                <w:i/>
                <w:sz w:val="20"/>
                <w:szCs w:val="20"/>
                <w:lang w:val="ru-RU"/>
              </w:rPr>
              <w:t>[</w:t>
            </w:r>
            <w:r w:rsidRPr="00A20E09">
              <w:rPr>
                <w:i/>
                <w:sz w:val="18"/>
                <w:szCs w:val="18"/>
              </w:rPr>
              <w:t>зазначається через назву певної системи (обладнання, пристрою, процесу, технології, явища тощо). Має належати до класу узагальненого об’єкта діяльності фахівця спеціальності 133 «Галузеве машинобудування», наприклад</w:t>
            </w:r>
            <w:r w:rsidRPr="00A20E09">
              <w:rPr>
                <w:i/>
                <w:sz w:val="20"/>
                <w:szCs w:val="20"/>
              </w:rPr>
              <w:t xml:space="preserve">: </w:t>
            </w:r>
            <w:r w:rsidRPr="00A20E09">
              <w:rPr>
                <w:i/>
              </w:rPr>
              <w:t>процес  точіння з застосуванням МОТЗ твердосплавним ріжучим інструментом з покриттям</w:t>
            </w:r>
            <w:r w:rsidRPr="00A20E09">
              <w:rPr>
                <w:i/>
                <w:sz w:val="20"/>
                <w:szCs w:val="20"/>
              </w:rPr>
              <w:t>]</w:t>
            </w:r>
          </w:p>
        </w:tc>
      </w:tr>
      <w:tr w:rsidR="00E81D78" w:rsidTr="00692C44">
        <w:tc>
          <w:tcPr>
            <w:tcW w:w="1577" w:type="dxa"/>
          </w:tcPr>
          <w:p w:rsidR="00E81D78" w:rsidRPr="00FA7DBC" w:rsidRDefault="00E81D78" w:rsidP="00D510E8">
            <w:pPr>
              <w:jc w:val="both"/>
              <w:rPr>
                <w:i/>
              </w:rPr>
            </w:pPr>
            <w:r>
              <w:rPr>
                <w:i/>
              </w:rPr>
              <w:t>Предме</w:t>
            </w:r>
            <w:r w:rsidRPr="00FA7DBC">
              <w:rPr>
                <w:i/>
              </w:rPr>
              <w:t>т дослідження:</w:t>
            </w:r>
          </w:p>
        </w:tc>
        <w:tc>
          <w:tcPr>
            <w:tcW w:w="9163" w:type="dxa"/>
          </w:tcPr>
          <w:p w:rsidR="00E81D78" w:rsidRDefault="00E81D78" w:rsidP="00A20E09">
            <w:pPr>
              <w:jc w:val="both"/>
            </w:pPr>
            <w:r>
              <w:rPr>
                <w:b/>
              </w:rPr>
              <w:t>Предме</w:t>
            </w:r>
            <w:r w:rsidRPr="00C57A50">
              <w:rPr>
                <w:b/>
              </w:rPr>
              <w:t>том дослідження є</w:t>
            </w:r>
            <w:r>
              <w:t xml:space="preserve"> </w:t>
            </w:r>
            <w:r w:rsidRPr="00A20E09">
              <w:rPr>
                <w:i/>
                <w:sz w:val="18"/>
                <w:szCs w:val="18"/>
              </w:rPr>
              <w:t xml:space="preserve">[зазначається у вигляді системи властивостей,  характеристик, функцій об’єкту дослідження, на які безпосередньо має бути спрямовано дослідження (із зазначенням певних обмежень). Визначення предмета дослідження практично є конкретизацією наукової проблеми, що випливає із завдань дослідження, наприклад: </w:t>
            </w:r>
            <w:r>
              <w:rPr>
                <w:i/>
              </w:rPr>
              <w:t>інтенсифікація процесу точіння на основі функціонально-орієнтованого підходу за рахунок раціонального вибору режиму різання</w:t>
            </w:r>
            <w:r w:rsidRPr="00A20E09">
              <w:rPr>
                <w:i/>
                <w:sz w:val="18"/>
                <w:szCs w:val="18"/>
              </w:rPr>
              <w:t>]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81D78" w:rsidTr="00692C44">
        <w:tc>
          <w:tcPr>
            <w:tcW w:w="1577" w:type="dxa"/>
          </w:tcPr>
          <w:p w:rsidR="00E81D78" w:rsidRPr="00C57A50" w:rsidRDefault="00E81D78" w:rsidP="00D510E8">
            <w:pPr>
              <w:rPr>
                <w:i/>
              </w:rPr>
            </w:pPr>
            <w:r>
              <w:rPr>
                <w:i/>
              </w:rPr>
              <w:t>Методи дослідження:</w:t>
            </w:r>
          </w:p>
        </w:tc>
        <w:tc>
          <w:tcPr>
            <w:tcW w:w="9163" w:type="dxa"/>
          </w:tcPr>
          <w:p w:rsidR="00E81D78" w:rsidRDefault="00E81D78" w:rsidP="00D510E8">
            <w:pPr>
              <w:ind w:left="34"/>
              <w:jc w:val="both"/>
            </w:pPr>
            <w:r w:rsidRPr="00BC753D">
              <w:rPr>
                <w:b/>
              </w:rPr>
              <w:t>При виконанні роботи</w:t>
            </w:r>
            <w:r w:rsidRPr="00BC753D">
              <w:t xml:space="preserve"> </w:t>
            </w:r>
            <w:r w:rsidRPr="00BC753D">
              <w:rPr>
                <w:i/>
              </w:rPr>
              <w:t xml:space="preserve">були використані </w:t>
            </w:r>
            <w:r w:rsidR="000E4AF7" w:rsidRPr="000E4AF7">
              <w:rPr>
                <w:i/>
              </w:rPr>
              <w:t>[</w:t>
            </w:r>
            <w:r w:rsidR="000E4AF7" w:rsidRPr="000E4AF7">
              <w:rPr>
                <w:i/>
                <w:sz w:val="18"/>
                <w:szCs w:val="18"/>
              </w:rPr>
              <w:t>можна коротше</w:t>
            </w:r>
            <w:r w:rsidR="000E4AF7" w:rsidRPr="000E4AF7">
              <w:rPr>
                <w:i/>
              </w:rPr>
              <w:t xml:space="preserve">] </w:t>
            </w:r>
            <w:r w:rsidRPr="00BC753D">
              <w:rPr>
                <w:i/>
              </w:rPr>
              <w:t xml:space="preserve">сучасні методи модельних та натурних досліджень. які виконано на базі положень теорії різання, теорії автоматичного керування, теорії коливань і хвиль, теоретичної механіки і динаміки. Експериментальне дослідження </w:t>
            </w:r>
            <w:r>
              <w:rPr>
                <w:i/>
              </w:rPr>
              <w:t>…</w:t>
            </w:r>
            <w:r w:rsidRPr="00BC753D">
              <w:rPr>
                <w:i/>
              </w:rPr>
              <w:t xml:space="preserve"> точіння виконано з використанням методу реєстрації сигналу </w:t>
            </w:r>
            <w:proofErr w:type="spellStart"/>
            <w:r w:rsidRPr="00BC753D">
              <w:rPr>
                <w:i/>
              </w:rPr>
              <w:t>віброприскорень</w:t>
            </w:r>
            <w:proofErr w:type="spellEnd"/>
            <w:r w:rsidRPr="00BC753D">
              <w:rPr>
                <w:i/>
              </w:rPr>
              <w:t xml:space="preserve"> інструменту й </w:t>
            </w:r>
            <w:proofErr w:type="spellStart"/>
            <w:r w:rsidRPr="00BC753D">
              <w:rPr>
                <w:i/>
              </w:rPr>
              <w:t>віброзміщення</w:t>
            </w:r>
            <w:proofErr w:type="spellEnd"/>
            <w:r w:rsidRPr="00BC753D">
              <w:rPr>
                <w:i/>
              </w:rPr>
              <w:t xml:space="preserve"> шпинделя та подальшої реєстрації їх в синхронному режимі системою збору даних на базі ПК. Обробку сигналу проведено за д</w:t>
            </w:r>
            <w:r>
              <w:rPr>
                <w:i/>
              </w:rPr>
              <w:t xml:space="preserve">опомогою пакету програм </w:t>
            </w:r>
            <w:proofErr w:type="spellStart"/>
            <w:r>
              <w:rPr>
                <w:i/>
              </w:rPr>
              <w:t>Matlab</w:t>
            </w:r>
            <w:proofErr w:type="spellEnd"/>
            <w:r>
              <w:rPr>
                <w:i/>
              </w:rPr>
              <w:t>...</w:t>
            </w:r>
          </w:p>
        </w:tc>
      </w:tr>
      <w:tr w:rsidR="00E81D78" w:rsidTr="00692C44">
        <w:tc>
          <w:tcPr>
            <w:tcW w:w="1577" w:type="dxa"/>
          </w:tcPr>
          <w:p w:rsidR="00E81D78" w:rsidRPr="00C57A50" w:rsidRDefault="00E81D78" w:rsidP="00D510E8">
            <w:pPr>
              <w:rPr>
                <w:i/>
              </w:rPr>
            </w:pPr>
            <w:r>
              <w:t>Практичне значення результатів:</w:t>
            </w:r>
          </w:p>
        </w:tc>
        <w:tc>
          <w:tcPr>
            <w:tcW w:w="9163" w:type="dxa"/>
          </w:tcPr>
          <w:p w:rsidR="00E81D78" w:rsidRDefault="00E81D78" w:rsidP="00D510E8">
            <w:pPr>
              <w:jc w:val="both"/>
            </w:pPr>
            <w:r w:rsidRPr="008C5D4A">
              <w:rPr>
                <w:b/>
              </w:rPr>
              <w:t>Практичне значення результатів роботи</w:t>
            </w:r>
            <w:r>
              <w:t xml:space="preserve"> (</w:t>
            </w:r>
            <w:r w:rsidRPr="008C5D4A">
              <w:rPr>
                <w:sz w:val="20"/>
                <w:szCs w:val="20"/>
              </w:rPr>
              <w:t>варіанти тез, 2-4</w:t>
            </w:r>
            <w:r>
              <w:t>):</w:t>
            </w:r>
          </w:p>
          <w:p w:rsidR="00E81D78" w:rsidRPr="008C5D4A" w:rsidRDefault="00E81D78" w:rsidP="00D510E8">
            <w:pPr>
              <w:jc w:val="both"/>
              <w:rPr>
                <w:i/>
              </w:rPr>
            </w:pPr>
            <w:r w:rsidRPr="008C5D4A">
              <w:rPr>
                <w:i/>
              </w:rPr>
              <w:t>- розроблена інженерна методика …</w:t>
            </w:r>
          </w:p>
          <w:p w:rsidR="00E81D78" w:rsidRPr="008C5D4A" w:rsidRDefault="00E81D78" w:rsidP="00D510E8">
            <w:pPr>
              <w:jc w:val="both"/>
              <w:rPr>
                <w:i/>
              </w:rPr>
            </w:pPr>
            <w:r w:rsidRPr="008C5D4A">
              <w:rPr>
                <w:i/>
              </w:rPr>
              <w:t>- розроблено технічну інструкцію …</w:t>
            </w:r>
          </w:p>
          <w:p w:rsidR="00E81D78" w:rsidRPr="008C5D4A" w:rsidRDefault="00E81D78" w:rsidP="00D510E8">
            <w:pPr>
              <w:jc w:val="both"/>
              <w:rPr>
                <w:i/>
              </w:rPr>
            </w:pPr>
            <w:r w:rsidRPr="008C5D4A">
              <w:rPr>
                <w:i/>
              </w:rPr>
              <w:t>- доведено, що …</w:t>
            </w:r>
          </w:p>
          <w:p w:rsidR="00E81D78" w:rsidRPr="008C5D4A" w:rsidRDefault="00E81D78" w:rsidP="00D510E8">
            <w:pPr>
              <w:jc w:val="both"/>
              <w:rPr>
                <w:i/>
              </w:rPr>
            </w:pPr>
            <w:r w:rsidRPr="008C5D4A">
              <w:rPr>
                <w:i/>
              </w:rPr>
              <w:t>- розроблені рекомендації щодо...</w:t>
            </w:r>
          </w:p>
          <w:p w:rsidR="00E81D78" w:rsidRPr="008C5D4A" w:rsidRDefault="00E81D78" w:rsidP="00D510E8">
            <w:pPr>
              <w:ind w:left="742" w:hanging="742"/>
              <w:jc w:val="both"/>
              <w:rPr>
                <w:i/>
              </w:rPr>
            </w:pPr>
            <w:r w:rsidRPr="008C5D4A">
              <w:rPr>
                <w:i/>
              </w:rPr>
              <w:t>- за рахунок … підвищено (досягнуто, забезпечено)</w:t>
            </w:r>
          </w:p>
          <w:p w:rsidR="00E81D78" w:rsidRPr="008C5D4A" w:rsidRDefault="00E81D78" w:rsidP="00D510E8">
            <w:pPr>
              <w:jc w:val="both"/>
              <w:rPr>
                <w:i/>
              </w:rPr>
            </w:pPr>
            <w:r w:rsidRPr="008C5D4A">
              <w:rPr>
                <w:i/>
              </w:rPr>
              <w:t>- використання запропонованих принципів керування динамічним станом елементів обробної системи …</w:t>
            </w:r>
          </w:p>
          <w:p w:rsidR="00E81D78" w:rsidRDefault="00E81D78" w:rsidP="00D510E8">
            <w:pPr>
              <w:jc w:val="both"/>
            </w:pPr>
            <w:r w:rsidRPr="008C5D4A">
              <w:rPr>
                <w:i/>
              </w:rPr>
              <w:t>- результати роботи використано в навчальному процесі кафедри галузевого машинобудування ЖДТУ…</w:t>
            </w:r>
          </w:p>
        </w:tc>
      </w:tr>
      <w:tr w:rsidR="00E81D78" w:rsidTr="00692C44">
        <w:tc>
          <w:tcPr>
            <w:tcW w:w="1577" w:type="dxa"/>
          </w:tcPr>
          <w:p w:rsidR="00E81D78" w:rsidRPr="00C57A50" w:rsidRDefault="00E81D78" w:rsidP="00D510E8">
            <w:pPr>
              <w:rPr>
                <w:i/>
              </w:rPr>
            </w:pPr>
            <w:r>
              <w:rPr>
                <w:i/>
              </w:rPr>
              <w:t>Публікації:</w:t>
            </w:r>
          </w:p>
        </w:tc>
        <w:tc>
          <w:tcPr>
            <w:tcW w:w="9163" w:type="dxa"/>
          </w:tcPr>
          <w:p w:rsidR="00E81D78" w:rsidRDefault="00E81D78" w:rsidP="00D510E8">
            <w:pPr>
              <w:jc w:val="both"/>
            </w:pPr>
            <w:r w:rsidRPr="00F34D4B">
              <w:rPr>
                <w:b/>
              </w:rPr>
              <w:t xml:space="preserve">За темою атестаційної магістерської роботи </w:t>
            </w:r>
            <w:r w:rsidRPr="00F34D4B">
              <w:rPr>
                <w:i/>
              </w:rPr>
              <w:t>є одне видання: тези доповіді на</w:t>
            </w:r>
            <w:r>
              <w:t xml:space="preserve"> </w:t>
            </w:r>
            <w:r w:rsidRPr="00BC753D">
              <w:rPr>
                <w:i/>
              </w:rPr>
              <w:t>Всеукраїнській науково-практичній конференції аспірантів, молодих учених та студентів «Технічні науки на сучасному етапі» 17-19 травня 2017 року.</w:t>
            </w:r>
          </w:p>
        </w:tc>
      </w:tr>
      <w:tr w:rsidR="00E81D78" w:rsidTr="00692C44">
        <w:tc>
          <w:tcPr>
            <w:tcW w:w="1577" w:type="dxa"/>
          </w:tcPr>
          <w:p w:rsidR="00E81D78" w:rsidRPr="000D3AD2" w:rsidRDefault="00E81D78" w:rsidP="00D510E8">
            <w:pPr>
              <w:rPr>
                <w:i/>
              </w:rPr>
            </w:pPr>
            <w:r w:rsidRPr="000D3AD2">
              <w:rPr>
                <w:i/>
              </w:rPr>
              <w:t>Основна частина доповіді:</w:t>
            </w:r>
          </w:p>
        </w:tc>
        <w:tc>
          <w:tcPr>
            <w:tcW w:w="9163" w:type="dxa"/>
          </w:tcPr>
          <w:p w:rsidR="00E81D78" w:rsidRDefault="00E81D78" w:rsidP="00D510E8">
            <w:pPr>
              <w:jc w:val="both"/>
              <w:rPr>
                <w:i/>
              </w:rPr>
            </w:pPr>
            <w:r w:rsidRPr="000D3AD2">
              <w:rPr>
                <w:b/>
              </w:rPr>
              <w:t>В першому розділі роботи виконано аналіз літературних джерел за розглянутою темою:</w:t>
            </w:r>
            <w:r>
              <w:t xml:space="preserve"> </w:t>
            </w:r>
            <w:r w:rsidRPr="000D3AD2">
              <w:rPr>
                <w:i/>
              </w:rPr>
              <w:t xml:space="preserve">наукових статей, підручників, монографій, патентів, </w:t>
            </w:r>
            <w:r>
              <w:rPr>
                <w:i/>
              </w:rPr>
              <w:t>і</w:t>
            </w:r>
            <w:r w:rsidRPr="000D3AD2">
              <w:rPr>
                <w:i/>
              </w:rPr>
              <w:t>нтернет-ресурсів…</w:t>
            </w:r>
          </w:p>
          <w:p w:rsidR="00E81D78" w:rsidRPr="00D510E8" w:rsidRDefault="00E81D78" w:rsidP="00D510E8">
            <w:pPr>
              <w:jc w:val="both"/>
              <w:rPr>
                <w:i/>
              </w:rPr>
            </w:pPr>
            <w:r>
              <w:rPr>
                <w:i/>
              </w:rPr>
              <w:t>Результати аналізу представлені на плакатах 2-5:</w:t>
            </w:r>
          </w:p>
          <w:p w:rsidR="00E81D78" w:rsidRPr="000E4AF7" w:rsidRDefault="00E81D78" w:rsidP="000E4AF7">
            <w:pPr>
              <w:spacing w:before="60"/>
              <w:jc w:val="both"/>
              <w:rPr>
                <w:b/>
              </w:rPr>
            </w:pPr>
            <w:r w:rsidRPr="000D3AD2">
              <w:rPr>
                <w:b/>
              </w:rPr>
              <w:t xml:space="preserve">В </w:t>
            </w:r>
            <w:r>
              <w:rPr>
                <w:b/>
              </w:rPr>
              <w:t>друг</w:t>
            </w:r>
            <w:r w:rsidRPr="000D3AD2">
              <w:rPr>
                <w:b/>
              </w:rPr>
              <w:t>ому розділі роботи виконано</w:t>
            </w:r>
            <w:r>
              <w:rPr>
                <w:b/>
              </w:rPr>
              <w:t>…</w:t>
            </w:r>
            <w:r w:rsidR="000E4AF7">
              <w:rPr>
                <w:b/>
                <w:lang w:val="ru-RU"/>
              </w:rPr>
              <w:t xml:space="preserve">   </w:t>
            </w:r>
            <w:bookmarkStart w:id="0" w:name="_GoBack"/>
            <w:bookmarkEnd w:id="0"/>
            <w:r w:rsidRPr="00D510E8">
              <w:rPr>
                <w:i/>
              </w:rPr>
              <w:t>На плакаті 6…</w:t>
            </w:r>
          </w:p>
          <w:p w:rsidR="00E81D78" w:rsidRPr="000E4AF7" w:rsidRDefault="00E81D78" w:rsidP="000E4AF7">
            <w:pPr>
              <w:spacing w:before="60"/>
              <w:jc w:val="both"/>
            </w:pPr>
            <w:r w:rsidRPr="00D510E8">
              <w:rPr>
                <w:b/>
              </w:rPr>
              <w:t>Третій розділ присвячено питанням</w:t>
            </w:r>
            <w:r w:rsidRPr="00D510E8">
              <w:t>…</w:t>
            </w:r>
            <w:r w:rsidR="000E4AF7">
              <w:rPr>
                <w:lang w:val="ru-RU"/>
              </w:rPr>
              <w:t xml:space="preserve">   </w:t>
            </w:r>
            <w:r>
              <w:rPr>
                <w:i/>
              </w:rPr>
              <w:t>Відповідно, плакати 10-12 ілюструють…</w:t>
            </w:r>
          </w:p>
          <w:p w:rsidR="00E81D78" w:rsidRPr="00D510E8" w:rsidRDefault="00E81D78" w:rsidP="000E4AF7">
            <w:pPr>
              <w:spacing w:before="60"/>
              <w:jc w:val="both"/>
              <w:rPr>
                <w:i/>
              </w:rPr>
            </w:pPr>
            <w:r w:rsidRPr="00D510E8">
              <w:rPr>
                <w:b/>
              </w:rPr>
              <w:t xml:space="preserve">Четвертий розділ </w:t>
            </w:r>
            <w:r>
              <w:rPr>
                <w:i/>
              </w:rPr>
              <w:t>розглядає передумови розробки рекомендацій по …</w:t>
            </w:r>
          </w:p>
          <w:p w:rsidR="00E81D78" w:rsidRDefault="00E81D78" w:rsidP="00D510E8">
            <w:pPr>
              <w:jc w:val="both"/>
              <w:rPr>
                <w:b/>
              </w:rPr>
            </w:pPr>
            <w:r w:rsidRPr="00D510E8">
              <w:rPr>
                <w:b/>
              </w:rPr>
              <w:t>На плакаті</w:t>
            </w:r>
            <w:r>
              <w:rPr>
                <w:i/>
              </w:rPr>
              <w:t xml:space="preserve"> 15 </w:t>
            </w:r>
            <w:r w:rsidRPr="00D510E8">
              <w:rPr>
                <w:b/>
              </w:rPr>
              <w:t xml:space="preserve">наведено рекомендації </w:t>
            </w:r>
            <w:r>
              <w:rPr>
                <w:i/>
              </w:rPr>
              <w:t xml:space="preserve">по застосуванню… </w:t>
            </w:r>
            <w:r w:rsidRPr="00D510E8">
              <w:rPr>
                <w:b/>
              </w:rPr>
              <w:t>та висновки по роботі</w:t>
            </w:r>
            <w:r>
              <w:rPr>
                <w:b/>
              </w:rPr>
              <w:t>.</w:t>
            </w:r>
          </w:p>
          <w:p w:rsidR="00E81D78" w:rsidRPr="000E4AF7" w:rsidRDefault="00E81D78" w:rsidP="000E4AF7">
            <w:pPr>
              <w:jc w:val="both"/>
              <w:rPr>
                <w:i/>
                <w:lang w:val="ru-RU"/>
              </w:rPr>
            </w:pPr>
            <w:r>
              <w:rPr>
                <w:b/>
              </w:rPr>
              <w:t>Дозвольте зачитати їх</w:t>
            </w:r>
            <w:r w:rsidR="000E4AF7">
              <w:rPr>
                <w:b/>
                <w:lang w:val="ru-RU"/>
              </w:rPr>
              <w:t xml:space="preserve"> з плакату…</w:t>
            </w:r>
          </w:p>
        </w:tc>
      </w:tr>
    </w:tbl>
    <w:p w:rsidR="008C37F2" w:rsidRPr="00D510E8" w:rsidRDefault="00D510E8" w:rsidP="00D510E8">
      <w:pPr>
        <w:spacing w:line="240" w:lineRule="auto"/>
        <w:rPr>
          <w:b/>
        </w:rPr>
      </w:pPr>
      <w:r w:rsidRPr="00D510E8">
        <w:rPr>
          <w:b/>
        </w:rPr>
        <w:t>Доповідь закінчено. Дякую за увагу.</w:t>
      </w:r>
    </w:p>
    <w:sectPr w:rsidR="008C37F2" w:rsidRPr="00D510E8" w:rsidSect="008C37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26"/>
    <w:rsid w:val="00052726"/>
    <w:rsid w:val="000B0339"/>
    <w:rsid w:val="000D3AD2"/>
    <w:rsid w:val="000E4AF7"/>
    <w:rsid w:val="00187EB7"/>
    <w:rsid w:val="001E16EF"/>
    <w:rsid w:val="0027789B"/>
    <w:rsid w:val="005D44E9"/>
    <w:rsid w:val="00692C44"/>
    <w:rsid w:val="006C6A6D"/>
    <w:rsid w:val="006F571C"/>
    <w:rsid w:val="008C37F2"/>
    <w:rsid w:val="008C5D4A"/>
    <w:rsid w:val="00A20E09"/>
    <w:rsid w:val="00BC753D"/>
    <w:rsid w:val="00C57A50"/>
    <w:rsid w:val="00D510E8"/>
    <w:rsid w:val="00DA4919"/>
    <w:rsid w:val="00E81D78"/>
    <w:rsid w:val="00F34D4B"/>
    <w:rsid w:val="00F86528"/>
    <w:rsid w:val="00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6AFC-F8F1-41D4-BC01-42528A2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2017-12-20T08:05:00Z</dcterms:created>
  <dcterms:modified xsi:type="dcterms:W3CDTF">2017-12-27T11:24:00Z</dcterms:modified>
</cp:coreProperties>
</file>