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6E2" w:rsidRDefault="00F146E2" w:rsidP="00F146E2">
      <w:pPr>
        <w:shd w:val="clear" w:color="auto" w:fill="FFFFFF"/>
        <w:spacing w:after="0" w:line="276" w:lineRule="auto"/>
        <w:contextualSpacing/>
        <w:jc w:val="center"/>
        <w:rPr>
          <w:rFonts w:ascii="Times New Roman" w:eastAsia="Times New Roman" w:hAnsi="Times New Roman" w:cs="Times New Roman"/>
          <w:b/>
          <w:bCs/>
          <w:noProof/>
          <w:color w:val="0000FF"/>
          <w:sz w:val="24"/>
          <w:szCs w:val="24"/>
          <w:lang w:val="uk-UA" w:eastAsia="ru-RU"/>
        </w:rPr>
      </w:pPr>
      <w:r w:rsidRPr="00F146E2">
        <w:rPr>
          <w:rFonts w:ascii="Times New Roman" w:eastAsia="Times New Roman" w:hAnsi="Times New Roman" w:cs="Times New Roman"/>
          <w:b/>
          <w:bCs/>
          <w:noProof/>
          <w:color w:val="0000FF"/>
          <w:sz w:val="24"/>
          <w:szCs w:val="24"/>
          <w:lang w:val="uk-UA" w:eastAsia="ru-RU"/>
        </w:rPr>
        <w:t>Тема 15.  Організація та технологія обслуговування в закладах ресторанного господарств при готелях</w:t>
      </w:r>
    </w:p>
    <w:p w:rsidR="00F146E2" w:rsidRPr="00F146E2" w:rsidRDefault="00F146E2" w:rsidP="00F146E2">
      <w:pPr>
        <w:shd w:val="clear" w:color="auto" w:fill="FFFFFF"/>
        <w:spacing w:after="0" w:line="276" w:lineRule="auto"/>
        <w:contextualSpacing/>
        <w:jc w:val="center"/>
        <w:rPr>
          <w:rFonts w:ascii="Times New Roman" w:eastAsia="Times New Roman" w:hAnsi="Times New Roman" w:cs="Times New Roman"/>
          <w:noProof/>
          <w:color w:val="333333"/>
          <w:sz w:val="24"/>
          <w:szCs w:val="24"/>
          <w:lang w:val="uk-UA" w:eastAsia="ru-RU"/>
        </w:rPr>
      </w:pPr>
    </w:p>
    <w:p w:rsidR="00F146E2" w:rsidRDefault="00F146E2" w:rsidP="00F146E2">
      <w:pPr>
        <w:shd w:val="clear" w:color="auto" w:fill="FFFFFF"/>
        <w:spacing w:after="0" w:line="276" w:lineRule="auto"/>
        <w:contextualSpacing/>
        <w:jc w:val="both"/>
        <w:rPr>
          <w:rFonts w:ascii="Times New Roman" w:eastAsia="Times New Roman" w:hAnsi="Times New Roman" w:cs="Times New Roman"/>
          <w:noProof/>
          <w:color w:val="000000"/>
          <w:sz w:val="24"/>
          <w:szCs w:val="24"/>
          <w:lang w:val="uk-UA" w:eastAsia="ru-RU"/>
        </w:rPr>
      </w:pPr>
      <w:r w:rsidRPr="00F146E2">
        <w:rPr>
          <w:rFonts w:ascii="Times New Roman" w:eastAsia="Times New Roman" w:hAnsi="Times New Roman" w:cs="Times New Roman"/>
          <w:b/>
          <w:bCs/>
          <w:noProof/>
          <w:color w:val="0000FF"/>
          <w:sz w:val="24"/>
          <w:szCs w:val="24"/>
          <w:lang w:val="uk-UA" w:eastAsia="ru-RU"/>
        </w:rPr>
        <w:t>Мета заняття: </w:t>
      </w:r>
      <w:r w:rsidRPr="00F146E2">
        <w:rPr>
          <w:rFonts w:ascii="Times New Roman" w:eastAsia="Times New Roman" w:hAnsi="Times New Roman" w:cs="Times New Roman"/>
          <w:noProof/>
          <w:color w:val="000000"/>
          <w:sz w:val="24"/>
          <w:szCs w:val="24"/>
          <w:lang w:val="uk-UA" w:eastAsia="ru-RU"/>
        </w:rPr>
        <w:t>Знати умови організації обслуговування в ресторанах (кафе) готельних комплексів. Набуття навичок обслуговування споживачів,  у підприємствах ресторанного господарства при готельних комплексах та видами додаткових послуг</w:t>
      </w:r>
      <w:r>
        <w:rPr>
          <w:rFonts w:ascii="Times New Roman" w:eastAsia="Times New Roman" w:hAnsi="Times New Roman" w:cs="Times New Roman"/>
          <w:noProof/>
          <w:color w:val="000000"/>
          <w:sz w:val="24"/>
          <w:szCs w:val="24"/>
          <w:lang w:val="uk-UA" w:eastAsia="ru-RU"/>
        </w:rPr>
        <w:t>.</w:t>
      </w:r>
    </w:p>
    <w:p w:rsidR="00F146E2" w:rsidRPr="00F146E2" w:rsidRDefault="00F146E2" w:rsidP="00F146E2">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p>
    <w:p w:rsidR="00F146E2" w:rsidRPr="00F146E2" w:rsidRDefault="00F146E2" w:rsidP="00F146E2">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b/>
          <w:bCs/>
          <w:noProof/>
          <w:color w:val="0000FF"/>
          <w:sz w:val="24"/>
          <w:szCs w:val="24"/>
          <w:lang w:val="uk-UA" w:eastAsia="ru-RU"/>
        </w:rPr>
        <w:t>План роботи</w:t>
      </w:r>
    </w:p>
    <w:p w:rsidR="00F146E2" w:rsidRPr="00F146E2" w:rsidRDefault="00F146E2" w:rsidP="00F146E2">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noProof/>
          <w:color w:val="000000"/>
          <w:sz w:val="24"/>
          <w:szCs w:val="24"/>
          <w:lang w:val="uk-UA" w:eastAsia="ru-RU"/>
        </w:rPr>
        <w:t>1. Класифікація організаційних форм обслуговування споживачів.</w:t>
      </w:r>
    </w:p>
    <w:p w:rsidR="00F146E2" w:rsidRPr="00F146E2" w:rsidRDefault="00F146E2" w:rsidP="00F146E2">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noProof/>
          <w:color w:val="000000"/>
          <w:sz w:val="24"/>
          <w:szCs w:val="24"/>
          <w:lang w:val="uk-UA" w:eastAsia="ru-RU"/>
        </w:rPr>
        <w:t>2. Методи обслуговування</w:t>
      </w:r>
    </w:p>
    <w:p w:rsidR="00F146E2" w:rsidRPr="00F146E2" w:rsidRDefault="00F146E2" w:rsidP="00F146E2">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noProof/>
          <w:color w:val="000000"/>
          <w:sz w:val="24"/>
          <w:szCs w:val="24"/>
          <w:lang w:val="uk-UA" w:eastAsia="ru-RU"/>
        </w:rPr>
        <w:t>3. Меню, види меню.</w:t>
      </w:r>
    </w:p>
    <w:p w:rsidR="00F146E2" w:rsidRPr="00F146E2" w:rsidRDefault="00F146E2" w:rsidP="00F146E2">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noProof/>
          <w:color w:val="000000"/>
          <w:sz w:val="24"/>
          <w:szCs w:val="24"/>
          <w:lang w:val="uk-UA" w:eastAsia="ru-RU"/>
        </w:rPr>
        <w:t>4. Основні правила подачі страва.</w:t>
      </w:r>
    </w:p>
    <w:p w:rsidR="00F146E2" w:rsidRPr="00F146E2" w:rsidRDefault="00F146E2" w:rsidP="00F146E2">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noProof/>
          <w:color w:val="000000"/>
          <w:sz w:val="24"/>
          <w:szCs w:val="24"/>
          <w:lang w:val="uk-UA" w:eastAsia="ru-RU"/>
        </w:rPr>
        <w:t>5. Організація повсягденного обслуговування </w:t>
      </w:r>
      <w:hyperlink r:id="rId4" w:tooltip="Словник термінів: Турист" w:history="1">
        <w:r w:rsidRPr="00F146E2">
          <w:rPr>
            <w:rFonts w:ascii="Times New Roman" w:eastAsia="Times New Roman" w:hAnsi="Times New Roman" w:cs="Times New Roman"/>
            <w:bCs/>
            <w:noProof/>
            <w:color w:val="083062"/>
            <w:sz w:val="24"/>
            <w:szCs w:val="24"/>
            <w:lang w:val="uk-UA" w:eastAsia="ru-RU"/>
          </w:rPr>
          <w:t>турист</w:t>
        </w:r>
      </w:hyperlink>
      <w:r w:rsidRPr="00F146E2">
        <w:rPr>
          <w:rFonts w:ascii="Times New Roman" w:eastAsia="Times New Roman" w:hAnsi="Times New Roman" w:cs="Times New Roman"/>
          <w:noProof/>
          <w:color w:val="000000"/>
          <w:sz w:val="24"/>
          <w:szCs w:val="24"/>
          <w:lang w:val="uk-UA" w:eastAsia="ru-RU"/>
        </w:rPr>
        <w:t>ів.</w:t>
      </w:r>
    </w:p>
    <w:p w:rsidR="00F146E2" w:rsidRPr="00F146E2" w:rsidRDefault="00F146E2" w:rsidP="00F146E2">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noProof/>
          <w:color w:val="000000"/>
          <w:sz w:val="24"/>
          <w:szCs w:val="24"/>
          <w:lang w:val="uk-UA" w:eastAsia="ru-RU"/>
        </w:rPr>
        <w:t>6. Організація обслуговування мешканців в номерах</w:t>
      </w:r>
    </w:p>
    <w:p w:rsidR="00F146E2" w:rsidRDefault="00F146E2" w:rsidP="00F146E2">
      <w:pPr>
        <w:shd w:val="clear" w:color="auto" w:fill="FFFFFF"/>
        <w:spacing w:after="0" w:line="276" w:lineRule="auto"/>
        <w:contextualSpacing/>
        <w:jc w:val="both"/>
        <w:rPr>
          <w:rFonts w:ascii="Times New Roman" w:eastAsia="Times New Roman" w:hAnsi="Times New Roman" w:cs="Times New Roman"/>
          <w:noProof/>
          <w:color w:val="000000"/>
          <w:sz w:val="24"/>
          <w:szCs w:val="24"/>
          <w:lang w:val="uk-UA" w:eastAsia="ru-RU"/>
        </w:rPr>
      </w:pPr>
      <w:r w:rsidRPr="00F146E2">
        <w:rPr>
          <w:rFonts w:ascii="Times New Roman" w:eastAsia="Times New Roman" w:hAnsi="Times New Roman" w:cs="Times New Roman"/>
          <w:noProof/>
          <w:color w:val="000000"/>
          <w:sz w:val="24"/>
          <w:szCs w:val="24"/>
          <w:lang w:val="uk-UA" w:eastAsia="ru-RU"/>
        </w:rPr>
        <w:t>7. Організація додатковиз послуг в ЗРГ</w:t>
      </w:r>
    </w:p>
    <w:p w:rsidR="00F146E2" w:rsidRPr="00F146E2" w:rsidRDefault="00F146E2" w:rsidP="00F146E2">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p>
    <w:p w:rsidR="00F146E2" w:rsidRPr="00F146E2" w:rsidRDefault="00F146E2" w:rsidP="00F146E2">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b/>
          <w:bCs/>
          <w:noProof/>
          <w:color w:val="0000FF"/>
          <w:sz w:val="24"/>
          <w:szCs w:val="24"/>
          <w:lang w:val="uk-UA" w:eastAsia="ru-RU"/>
        </w:rPr>
        <w:t>Хід роботи</w:t>
      </w:r>
    </w:p>
    <w:p w:rsidR="00F146E2" w:rsidRPr="00F146E2" w:rsidRDefault="00F146E2" w:rsidP="00F146E2">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noProof/>
          <w:color w:val="333333"/>
          <w:sz w:val="24"/>
          <w:szCs w:val="24"/>
          <w:lang w:val="uk-UA" w:eastAsia="ru-RU"/>
        </w:rPr>
        <w:t>Вивчення теми слід розпочинати і вивчення факторів, які впливають на організацію роботи підприємств ресторанного господарства при підприємствах готельного господарства.</w:t>
      </w:r>
    </w:p>
    <w:p w:rsidR="00F146E2" w:rsidRPr="00F146E2" w:rsidRDefault="00F146E2" w:rsidP="00F146E2">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noProof/>
          <w:color w:val="333333"/>
          <w:sz w:val="24"/>
          <w:szCs w:val="24"/>
          <w:lang w:val="uk-UA" w:eastAsia="ru-RU"/>
        </w:rPr>
        <w:t>Під час опанування цієї теми треба засвоїти характеристику основних типів підприємств громадського харчування, що обслуговують </w:t>
      </w:r>
      <w:hyperlink r:id="rId5" w:tooltip="Словник термінів: Тур" w:history="1">
        <w:r w:rsidRPr="00F146E2">
          <w:rPr>
            <w:rFonts w:ascii="Times New Roman" w:eastAsia="Times New Roman" w:hAnsi="Times New Roman" w:cs="Times New Roman"/>
            <w:bCs/>
            <w:noProof/>
            <w:color w:val="083062"/>
            <w:sz w:val="24"/>
            <w:szCs w:val="24"/>
            <w:lang w:val="uk-UA" w:eastAsia="ru-RU"/>
          </w:rPr>
          <w:t>тур</w:t>
        </w:r>
      </w:hyperlink>
      <w:r w:rsidRPr="00F146E2">
        <w:rPr>
          <w:rFonts w:ascii="Times New Roman" w:eastAsia="Times New Roman" w:hAnsi="Times New Roman" w:cs="Times New Roman"/>
          <w:noProof/>
          <w:color w:val="333333"/>
          <w:sz w:val="24"/>
          <w:szCs w:val="24"/>
          <w:lang w:val="uk-UA" w:eastAsia="ru-RU"/>
        </w:rPr>
        <w:t>истів: ресторани, кав’ярні, їдальні, бари, буфети, закусочні. Студенти повинні знати основні вимоги до підприємств ресторанного господарства (що обслуговують туристів) категорії «Люкс» (ресторан, бар), вищої категорії (ресторан, бар, кав'ярні), першої категорії (ресторан, кав'ярня загального типу та спеціалізована, бар, буфет), першої пониженої категорії (ресторан, кав'ярня загального типу, спеціалізований бар, закусочна, їдальня, буфет).</w:t>
      </w:r>
    </w:p>
    <w:p w:rsidR="00F146E2" w:rsidRPr="00F146E2" w:rsidRDefault="00F146E2" w:rsidP="00F146E2">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noProof/>
          <w:color w:val="333333"/>
          <w:sz w:val="24"/>
          <w:szCs w:val="24"/>
          <w:lang w:val="uk-UA" w:eastAsia="ru-RU"/>
        </w:rPr>
        <w:t>Більш детально слід зупинитися па організації обслуговування тематичних заходів у підприємствах ресторанного господарства, а саме: прийом замовлень, розробка меню, їх безпосередня підготовка та проведення.</w:t>
      </w:r>
    </w:p>
    <w:p w:rsidR="00F146E2" w:rsidRPr="00F146E2" w:rsidRDefault="00F146E2" w:rsidP="00F146E2">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noProof/>
          <w:color w:val="333333"/>
          <w:sz w:val="24"/>
          <w:szCs w:val="24"/>
          <w:lang w:val="uk-UA" w:eastAsia="ru-RU"/>
        </w:rPr>
        <w:t>Студенти повинні знати сучасні умови, системи та методи харчування в готелях. Знати організацію сніданків в готелі. Знати організацію шведського столу в ресторані при готелі. Крім того студентам потрібно розглянути сутність поняття «обслуговування в номерах» інакше Room servise, оскільки обслуговування в готельних номерах вимагає спеціальної підготовки персоналу. Ознайомитись із організацією інших видів обслуговування (чайний стіл, обслуговування в конференц-залах, діловий прийом).</w:t>
      </w:r>
    </w:p>
    <w:p w:rsidR="00F146E2" w:rsidRPr="00F146E2" w:rsidRDefault="00F146E2" w:rsidP="00F146E2">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noProof/>
          <w:color w:val="333333"/>
          <w:sz w:val="24"/>
          <w:szCs w:val="24"/>
          <w:lang w:val="uk-UA" w:eastAsia="ru-RU"/>
        </w:rPr>
        <w:t> </w:t>
      </w:r>
    </w:p>
    <w:p w:rsidR="00F146E2" w:rsidRPr="00F146E2" w:rsidRDefault="00F146E2" w:rsidP="00F146E2">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b/>
          <w:bCs/>
          <w:noProof/>
          <w:color w:val="0000FF"/>
          <w:sz w:val="24"/>
          <w:szCs w:val="24"/>
          <w:lang w:val="uk-UA" w:eastAsia="ru-RU"/>
        </w:rPr>
        <w:t>Рекомендовані джерела:</w:t>
      </w:r>
    </w:p>
    <w:p w:rsidR="00F146E2" w:rsidRPr="00F146E2" w:rsidRDefault="00F146E2" w:rsidP="00F146E2">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i/>
          <w:iCs/>
          <w:noProof/>
          <w:color w:val="333333"/>
          <w:sz w:val="24"/>
          <w:szCs w:val="24"/>
          <w:lang w:val="uk-UA" w:eastAsia="ru-RU"/>
        </w:rPr>
        <w:t>Основна література: 3, 7,21</w:t>
      </w:r>
    </w:p>
    <w:p w:rsidR="00F146E2" w:rsidRPr="00F146E2" w:rsidRDefault="00F146E2" w:rsidP="00F146E2">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i/>
          <w:iCs/>
          <w:noProof/>
          <w:color w:val="333333"/>
          <w:sz w:val="24"/>
          <w:szCs w:val="24"/>
          <w:lang w:val="uk-UA" w:eastAsia="ru-RU"/>
        </w:rPr>
        <w:t>Додаткова література : 27, 28</w:t>
      </w:r>
    </w:p>
    <w:p w:rsidR="00F146E2" w:rsidRDefault="00F146E2" w:rsidP="00F146E2">
      <w:pPr>
        <w:shd w:val="clear" w:color="auto" w:fill="FFFFFF"/>
        <w:spacing w:after="0" w:line="276" w:lineRule="auto"/>
        <w:contextualSpacing/>
        <w:jc w:val="both"/>
        <w:rPr>
          <w:rFonts w:ascii="Times New Roman" w:eastAsia="Times New Roman" w:hAnsi="Times New Roman" w:cs="Times New Roman"/>
          <w:i/>
          <w:iCs/>
          <w:noProof/>
          <w:color w:val="333333"/>
          <w:sz w:val="24"/>
          <w:szCs w:val="24"/>
          <w:lang w:val="uk-UA" w:eastAsia="ru-RU"/>
        </w:rPr>
      </w:pPr>
      <w:r w:rsidRPr="00F146E2">
        <w:rPr>
          <w:rFonts w:ascii="Times New Roman" w:eastAsia="Times New Roman" w:hAnsi="Times New Roman" w:cs="Times New Roman"/>
          <w:i/>
          <w:iCs/>
          <w:noProof/>
          <w:color w:val="333333"/>
          <w:sz w:val="24"/>
          <w:szCs w:val="24"/>
          <w:lang w:val="uk-UA" w:eastAsia="ru-RU"/>
        </w:rPr>
        <w:t>Internet-ресурси: 36,37,38,39,40,41,42</w:t>
      </w:r>
    </w:p>
    <w:p w:rsidR="00F146E2" w:rsidRPr="00F146E2" w:rsidRDefault="00F146E2" w:rsidP="00F146E2">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p>
    <w:p w:rsidR="00F146E2" w:rsidRPr="00F146E2" w:rsidRDefault="00F146E2" w:rsidP="00F146E2">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b/>
          <w:bCs/>
          <w:noProof/>
          <w:color w:val="0000FF"/>
          <w:sz w:val="24"/>
          <w:szCs w:val="24"/>
          <w:lang w:val="uk-UA" w:eastAsia="ru-RU"/>
        </w:rPr>
        <w:t>Завдання для студентів</w:t>
      </w:r>
    </w:p>
    <w:p w:rsidR="00F146E2" w:rsidRPr="00F146E2" w:rsidRDefault="00F146E2" w:rsidP="00F146E2">
      <w:pPr>
        <w:shd w:val="clear" w:color="auto" w:fill="FFFFFF"/>
        <w:spacing w:after="0" w:line="276" w:lineRule="auto"/>
        <w:contextualSpacing/>
        <w:jc w:val="both"/>
        <w:rPr>
          <w:rFonts w:ascii="Times New Roman" w:eastAsia="Times New Roman" w:hAnsi="Times New Roman" w:cs="Times New Roman"/>
          <w:b/>
          <w:noProof/>
          <w:color w:val="333333"/>
          <w:sz w:val="24"/>
          <w:szCs w:val="24"/>
          <w:lang w:val="uk-UA" w:eastAsia="ru-RU"/>
        </w:rPr>
      </w:pPr>
      <w:r w:rsidRPr="00F146E2">
        <w:rPr>
          <w:rFonts w:ascii="Times New Roman" w:eastAsia="Times New Roman" w:hAnsi="Times New Roman" w:cs="Times New Roman"/>
          <w:b/>
          <w:noProof/>
          <w:color w:val="333333"/>
          <w:sz w:val="24"/>
          <w:szCs w:val="24"/>
          <w:lang w:val="uk-UA" w:eastAsia="ru-RU"/>
        </w:rPr>
        <w:t>1. Розшифрувати позначення типів харчування в готелях і дайте їм характеристику </w:t>
      </w:r>
    </w:p>
    <w:tbl>
      <w:tblPr>
        <w:tblW w:w="936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2"/>
        <w:gridCol w:w="3633"/>
        <w:gridCol w:w="1728"/>
        <w:gridCol w:w="3388"/>
      </w:tblGrid>
      <w:tr w:rsidR="00F146E2" w:rsidRPr="00F146E2" w:rsidTr="00F146E2">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F146E2" w:rsidRPr="00F146E2" w:rsidRDefault="00F146E2" w:rsidP="00F146E2">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noProof/>
                <w:color w:val="333333"/>
                <w:sz w:val="24"/>
                <w:szCs w:val="24"/>
                <w:lang w:val="uk-UA" w:eastAsia="ru-RU"/>
              </w:rPr>
              <w:t>BB</w:t>
            </w:r>
          </w:p>
        </w:tc>
        <w:tc>
          <w:tcPr>
            <w:tcW w:w="3633" w:type="dxa"/>
            <w:tcBorders>
              <w:top w:val="outset" w:sz="6" w:space="0" w:color="auto"/>
              <w:left w:val="outset" w:sz="6" w:space="0" w:color="auto"/>
              <w:bottom w:val="outset" w:sz="6" w:space="0" w:color="auto"/>
              <w:right w:val="outset" w:sz="6" w:space="0" w:color="auto"/>
            </w:tcBorders>
            <w:shd w:val="clear" w:color="auto" w:fill="FFFFFF"/>
            <w:hideMark/>
          </w:tcPr>
          <w:p w:rsidR="00F146E2" w:rsidRPr="00F146E2" w:rsidRDefault="00F146E2" w:rsidP="00F146E2">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noProof/>
                <w:color w:val="333333"/>
                <w:sz w:val="24"/>
                <w:szCs w:val="24"/>
                <w:lang w:val="uk-UA" w:eastAsia="ru-RU"/>
              </w:rPr>
              <w:t>bed &amp; breakfast</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F146E2" w:rsidRPr="00F146E2" w:rsidRDefault="00F146E2" w:rsidP="00F146E2">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noProof/>
                <w:color w:val="333333"/>
                <w:sz w:val="24"/>
                <w:szCs w:val="24"/>
                <w:lang w:val="uk-UA" w:eastAsia="ru-RU"/>
              </w:rPr>
              <w:t>FB+, EXTFB</w:t>
            </w:r>
          </w:p>
        </w:tc>
        <w:tc>
          <w:tcPr>
            <w:tcW w:w="3388" w:type="dxa"/>
            <w:tcBorders>
              <w:top w:val="outset" w:sz="6" w:space="0" w:color="auto"/>
              <w:left w:val="outset" w:sz="6" w:space="0" w:color="auto"/>
              <w:bottom w:val="outset" w:sz="6" w:space="0" w:color="auto"/>
              <w:right w:val="outset" w:sz="6" w:space="0" w:color="auto"/>
            </w:tcBorders>
            <w:shd w:val="clear" w:color="auto" w:fill="FFFFFF"/>
            <w:hideMark/>
          </w:tcPr>
          <w:p w:rsidR="00F146E2" w:rsidRPr="00F146E2" w:rsidRDefault="00F146E2" w:rsidP="00F146E2">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noProof/>
                <w:color w:val="333333"/>
                <w:sz w:val="24"/>
                <w:szCs w:val="24"/>
                <w:lang w:val="uk-UA" w:eastAsia="ru-RU"/>
              </w:rPr>
              <w:t>full board +, extended half board</w:t>
            </w:r>
          </w:p>
        </w:tc>
      </w:tr>
      <w:tr w:rsidR="00F146E2" w:rsidRPr="00F146E2" w:rsidTr="00F146E2">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F146E2" w:rsidRPr="00F146E2" w:rsidRDefault="00F146E2" w:rsidP="00F146E2">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noProof/>
                <w:color w:val="333333"/>
                <w:sz w:val="24"/>
                <w:szCs w:val="24"/>
                <w:lang w:val="uk-UA" w:eastAsia="ru-RU"/>
              </w:rPr>
              <w:t>HB</w:t>
            </w:r>
          </w:p>
        </w:tc>
        <w:tc>
          <w:tcPr>
            <w:tcW w:w="3633" w:type="dxa"/>
            <w:tcBorders>
              <w:top w:val="outset" w:sz="6" w:space="0" w:color="auto"/>
              <w:left w:val="outset" w:sz="6" w:space="0" w:color="auto"/>
              <w:bottom w:val="outset" w:sz="6" w:space="0" w:color="auto"/>
              <w:right w:val="outset" w:sz="6" w:space="0" w:color="auto"/>
            </w:tcBorders>
            <w:shd w:val="clear" w:color="auto" w:fill="FFFFFF"/>
            <w:hideMark/>
          </w:tcPr>
          <w:p w:rsidR="00F146E2" w:rsidRPr="00F146E2" w:rsidRDefault="00F146E2" w:rsidP="00F146E2">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noProof/>
                <w:color w:val="333333"/>
                <w:sz w:val="24"/>
                <w:szCs w:val="24"/>
                <w:lang w:val="uk-UA" w:eastAsia="ru-RU"/>
              </w:rPr>
              <w:t>half board</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F146E2" w:rsidRPr="00F146E2" w:rsidRDefault="00F146E2" w:rsidP="00F146E2">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noProof/>
                <w:color w:val="333333"/>
                <w:sz w:val="24"/>
                <w:szCs w:val="24"/>
                <w:lang w:val="uk-UA" w:eastAsia="ru-RU"/>
              </w:rPr>
              <w:t>ALL, AI</w:t>
            </w:r>
          </w:p>
        </w:tc>
        <w:tc>
          <w:tcPr>
            <w:tcW w:w="3388" w:type="dxa"/>
            <w:tcBorders>
              <w:top w:val="outset" w:sz="6" w:space="0" w:color="auto"/>
              <w:left w:val="outset" w:sz="6" w:space="0" w:color="auto"/>
              <w:bottom w:val="outset" w:sz="6" w:space="0" w:color="auto"/>
              <w:right w:val="outset" w:sz="6" w:space="0" w:color="auto"/>
            </w:tcBorders>
            <w:shd w:val="clear" w:color="auto" w:fill="FFFFFF"/>
            <w:hideMark/>
          </w:tcPr>
          <w:p w:rsidR="00F146E2" w:rsidRPr="00F146E2" w:rsidRDefault="00F146E2" w:rsidP="00F146E2">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noProof/>
                <w:color w:val="333333"/>
                <w:sz w:val="24"/>
                <w:szCs w:val="24"/>
                <w:lang w:val="uk-UA" w:eastAsia="ru-RU"/>
              </w:rPr>
              <w:t>all inclusive</w:t>
            </w:r>
          </w:p>
        </w:tc>
      </w:tr>
      <w:tr w:rsidR="00F146E2" w:rsidRPr="00F146E2" w:rsidTr="00F146E2">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F146E2" w:rsidRPr="00F146E2" w:rsidRDefault="00F146E2" w:rsidP="00F146E2">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noProof/>
                <w:color w:val="333333"/>
                <w:sz w:val="24"/>
                <w:szCs w:val="24"/>
                <w:lang w:val="uk-UA" w:eastAsia="ru-RU"/>
              </w:rPr>
              <w:lastRenderedPageBreak/>
              <w:t>HB+</w:t>
            </w:r>
          </w:p>
        </w:tc>
        <w:tc>
          <w:tcPr>
            <w:tcW w:w="3633" w:type="dxa"/>
            <w:tcBorders>
              <w:top w:val="outset" w:sz="6" w:space="0" w:color="auto"/>
              <w:left w:val="outset" w:sz="6" w:space="0" w:color="auto"/>
              <w:bottom w:val="outset" w:sz="6" w:space="0" w:color="auto"/>
              <w:right w:val="outset" w:sz="6" w:space="0" w:color="auto"/>
            </w:tcBorders>
            <w:shd w:val="clear" w:color="auto" w:fill="FFFFFF"/>
            <w:hideMark/>
          </w:tcPr>
          <w:p w:rsidR="00F146E2" w:rsidRPr="00F146E2" w:rsidRDefault="00F146E2" w:rsidP="00F146E2">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noProof/>
                <w:color w:val="333333"/>
                <w:sz w:val="24"/>
                <w:szCs w:val="24"/>
                <w:lang w:val="uk-UA" w:eastAsia="ru-RU"/>
              </w:rPr>
              <w:t>half board +, extended half board</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F146E2" w:rsidRPr="00F146E2" w:rsidRDefault="00F146E2" w:rsidP="00F146E2">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noProof/>
                <w:color w:val="333333"/>
                <w:sz w:val="24"/>
                <w:szCs w:val="24"/>
                <w:lang w:val="uk-UA" w:eastAsia="ru-RU"/>
              </w:rPr>
              <w:t>UAL, UAI</w:t>
            </w:r>
          </w:p>
        </w:tc>
        <w:tc>
          <w:tcPr>
            <w:tcW w:w="3388" w:type="dxa"/>
            <w:tcBorders>
              <w:top w:val="outset" w:sz="6" w:space="0" w:color="auto"/>
              <w:left w:val="outset" w:sz="6" w:space="0" w:color="auto"/>
              <w:bottom w:val="outset" w:sz="6" w:space="0" w:color="auto"/>
              <w:right w:val="outset" w:sz="6" w:space="0" w:color="auto"/>
            </w:tcBorders>
            <w:shd w:val="clear" w:color="auto" w:fill="FFFFFF"/>
            <w:hideMark/>
          </w:tcPr>
          <w:p w:rsidR="00F146E2" w:rsidRPr="00F146E2" w:rsidRDefault="00F146E2" w:rsidP="00F146E2">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noProof/>
                <w:color w:val="333333"/>
                <w:sz w:val="24"/>
                <w:szCs w:val="24"/>
                <w:lang w:val="uk-UA" w:eastAsia="ru-RU"/>
              </w:rPr>
              <w:t>ultra aIl inclusive</w:t>
            </w:r>
          </w:p>
        </w:tc>
      </w:tr>
      <w:tr w:rsidR="00F146E2" w:rsidRPr="00F146E2" w:rsidTr="00F146E2">
        <w:tc>
          <w:tcPr>
            <w:tcW w:w="612" w:type="dxa"/>
            <w:tcBorders>
              <w:top w:val="outset" w:sz="6" w:space="0" w:color="auto"/>
              <w:left w:val="outset" w:sz="6" w:space="0" w:color="auto"/>
              <w:bottom w:val="outset" w:sz="6" w:space="0" w:color="auto"/>
              <w:right w:val="outset" w:sz="6" w:space="0" w:color="auto"/>
            </w:tcBorders>
            <w:shd w:val="clear" w:color="auto" w:fill="FFFFFF"/>
            <w:hideMark/>
          </w:tcPr>
          <w:p w:rsidR="00F146E2" w:rsidRPr="00F146E2" w:rsidRDefault="00F146E2" w:rsidP="00F146E2">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noProof/>
                <w:color w:val="333333"/>
                <w:sz w:val="24"/>
                <w:szCs w:val="24"/>
                <w:lang w:val="uk-UA" w:eastAsia="ru-RU"/>
              </w:rPr>
              <w:t>FB</w:t>
            </w:r>
          </w:p>
        </w:tc>
        <w:tc>
          <w:tcPr>
            <w:tcW w:w="3633" w:type="dxa"/>
            <w:tcBorders>
              <w:top w:val="outset" w:sz="6" w:space="0" w:color="auto"/>
              <w:left w:val="outset" w:sz="6" w:space="0" w:color="auto"/>
              <w:bottom w:val="outset" w:sz="6" w:space="0" w:color="auto"/>
              <w:right w:val="outset" w:sz="6" w:space="0" w:color="auto"/>
            </w:tcBorders>
            <w:shd w:val="clear" w:color="auto" w:fill="FFFFFF"/>
            <w:hideMark/>
          </w:tcPr>
          <w:p w:rsidR="00F146E2" w:rsidRPr="00F146E2" w:rsidRDefault="00F146E2" w:rsidP="00F146E2">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noProof/>
                <w:color w:val="333333"/>
                <w:sz w:val="24"/>
                <w:szCs w:val="24"/>
                <w:lang w:val="uk-UA" w:eastAsia="ru-RU"/>
              </w:rPr>
              <w:t>full board</w:t>
            </w:r>
          </w:p>
        </w:tc>
        <w:tc>
          <w:tcPr>
            <w:tcW w:w="1728" w:type="dxa"/>
            <w:tcBorders>
              <w:top w:val="outset" w:sz="6" w:space="0" w:color="auto"/>
              <w:left w:val="outset" w:sz="6" w:space="0" w:color="auto"/>
              <w:bottom w:val="outset" w:sz="6" w:space="0" w:color="auto"/>
              <w:right w:val="outset" w:sz="6" w:space="0" w:color="auto"/>
            </w:tcBorders>
            <w:shd w:val="clear" w:color="auto" w:fill="FFFFFF"/>
            <w:hideMark/>
          </w:tcPr>
          <w:p w:rsidR="00F146E2" w:rsidRPr="00F146E2" w:rsidRDefault="00F146E2" w:rsidP="00F146E2">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noProof/>
                <w:color w:val="333333"/>
                <w:sz w:val="24"/>
                <w:szCs w:val="24"/>
                <w:lang w:val="uk-UA" w:eastAsia="ru-RU"/>
              </w:rPr>
              <w:t>HCAL,Imperial</w:t>
            </w:r>
          </w:p>
        </w:tc>
        <w:tc>
          <w:tcPr>
            <w:tcW w:w="3388" w:type="dxa"/>
            <w:tcBorders>
              <w:top w:val="outset" w:sz="6" w:space="0" w:color="auto"/>
              <w:left w:val="outset" w:sz="6" w:space="0" w:color="auto"/>
              <w:bottom w:val="outset" w:sz="6" w:space="0" w:color="auto"/>
              <w:right w:val="outset" w:sz="6" w:space="0" w:color="auto"/>
            </w:tcBorders>
            <w:shd w:val="clear" w:color="auto" w:fill="FFFFFF"/>
            <w:hideMark/>
          </w:tcPr>
          <w:p w:rsidR="00F146E2" w:rsidRPr="00F146E2" w:rsidRDefault="00F146E2" w:rsidP="00F146E2">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noProof/>
                <w:color w:val="333333"/>
                <w:sz w:val="24"/>
                <w:szCs w:val="24"/>
                <w:lang w:val="uk-UA" w:eastAsia="ru-RU"/>
              </w:rPr>
              <w:t>hign class all inclusive</w:t>
            </w:r>
          </w:p>
        </w:tc>
      </w:tr>
    </w:tbl>
    <w:p w:rsidR="00F146E2" w:rsidRDefault="00F146E2" w:rsidP="00F146E2">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p>
    <w:p w:rsidR="00F146E2" w:rsidRPr="00F146E2" w:rsidRDefault="00F146E2" w:rsidP="00F146E2">
      <w:pPr>
        <w:shd w:val="clear" w:color="auto" w:fill="FFFFFF"/>
        <w:spacing w:after="0" w:line="276" w:lineRule="auto"/>
        <w:contextualSpacing/>
        <w:jc w:val="both"/>
        <w:rPr>
          <w:rFonts w:ascii="Times New Roman" w:eastAsia="Times New Roman" w:hAnsi="Times New Roman" w:cs="Times New Roman"/>
          <w:b/>
          <w:noProof/>
          <w:color w:val="333333"/>
          <w:sz w:val="24"/>
          <w:szCs w:val="24"/>
          <w:lang w:val="uk-UA" w:eastAsia="ru-RU"/>
        </w:rPr>
      </w:pPr>
      <w:r w:rsidRPr="00F146E2">
        <w:rPr>
          <w:rFonts w:ascii="Times New Roman" w:eastAsia="Times New Roman" w:hAnsi="Times New Roman" w:cs="Times New Roman"/>
          <w:b/>
          <w:noProof/>
          <w:color w:val="333333"/>
          <w:sz w:val="24"/>
          <w:szCs w:val="24"/>
          <w:lang w:val="uk-UA" w:eastAsia="ru-RU"/>
        </w:rPr>
        <w:t>2. Виконайте індивідуальне завдання</w:t>
      </w:r>
    </w:p>
    <w:p w:rsidR="00F146E2" w:rsidRPr="00F146E2" w:rsidRDefault="00F146E2" w:rsidP="00F146E2">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noProof/>
          <w:color w:val="333333"/>
          <w:sz w:val="24"/>
          <w:szCs w:val="24"/>
          <w:lang w:val="uk-UA" w:eastAsia="ru-RU"/>
        </w:rPr>
        <w:t>На власний вибір та за узгодженням з викладачем виконати таке:</w:t>
      </w:r>
    </w:p>
    <w:p w:rsidR="00F146E2" w:rsidRPr="00F146E2" w:rsidRDefault="00F146E2" w:rsidP="00F146E2">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noProof/>
          <w:color w:val="333333"/>
          <w:sz w:val="24"/>
          <w:szCs w:val="24"/>
          <w:lang w:val="uk-UA" w:eastAsia="ru-RU"/>
        </w:rPr>
        <w:t>1. Дослідити види, особливості функціонування закладів ресторанного господарства при готелі.</w:t>
      </w:r>
    </w:p>
    <w:p w:rsidR="00F146E2" w:rsidRPr="00F146E2" w:rsidRDefault="00F146E2" w:rsidP="00F146E2">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noProof/>
          <w:color w:val="333333"/>
          <w:sz w:val="24"/>
          <w:szCs w:val="24"/>
          <w:lang w:val="uk-UA" w:eastAsia="ru-RU"/>
        </w:rPr>
        <w:t>2. Дослідити</w:t>
      </w:r>
      <w:bookmarkStart w:id="0" w:name="_GoBack"/>
      <w:bookmarkEnd w:id="0"/>
      <w:r w:rsidRPr="00F146E2">
        <w:rPr>
          <w:rFonts w:ascii="Times New Roman" w:eastAsia="Times New Roman" w:hAnsi="Times New Roman" w:cs="Times New Roman"/>
          <w:noProof/>
          <w:color w:val="333333"/>
          <w:sz w:val="24"/>
          <w:szCs w:val="24"/>
          <w:lang w:val="uk-UA" w:eastAsia="ru-RU"/>
        </w:rPr>
        <w:t xml:space="preserve"> види харчування, що пропонують заклади ресторанного господарства при готелях (за визначенням викладача) їх мешканцям.</w:t>
      </w:r>
    </w:p>
    <w:p w:rsidR="00F146E2" w:rsidRPr="00F146E2" w:rsidRDefault="00F146E2" w:rsidP="00F146E2">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F146E2">
        <w:rPr>
          <w:rFonts w:ascii="Times New Roman" w:eastAsia="Times New Roman" w:hAnsi="Times New Roman" w:cs="Times New Roman"/>
          <w:noProof/>
          <w:color w:val="333333"/>
          <w:sz w:val="24"/>
          <w:szCs w:val="24"/>
          <w:lang w:val="uk-UA" w:eastAsia="ru-RU"/>
        </w:rPr>
        <w:t>3. Дослідити види і організацію сніданків у закладах ресторанного господарства при готелях.</w:t>
      </w:r>
    </w:p>
    <w:p w:rsidR="00506D68" w:rsidRDefault="00506D68"/>
    <w:sectPr w:rsidR="00506D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038"/>
    <w:rsid w:val="00506D68"/>
    <w:rsid w:val="00EC6038"/>
    <w:rsid w:val="00F14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3D059-5162-4CEC-B2A8-6B2E5901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46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46E2"/>
    <w:rPr>
      <w:b/>
      <w:bCs/>
    </w:rPr>
  </w:style>
  <w:style w:type="character" w:styleId="a5">
    <w:name w:val="Hyperlink"/>
    <w:basedOn w:val="a0"/>
    <w:uiPriority w:val="99"/>
    <w:semiHidden/>
    <w:unhideWhenUsed/>
    <w:rsid w:val="00F146E2"/>
    <w:rPr>
      <w:color w:val="0000FF"/>
      <w:u w:val="single"/>
    </w:rPr>
  </w:style>
  <w:style w:type="paragraph" w:customStyle="1" w:styleId="tableparagraph">
    <w:name w:val="tableparagraph"/>
    <w:basedOn w:val="a"/>
    <w:rsid w:val="00F146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23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learn.nubip.edu.ua/mod/glossary/showentry.php?eid=198909&amp;displayformat=dictionary" TargetMode="External"/><Relationship Id="rId4" Type="http://schemas.openxmlformats.org/officeDocument/2006/relationships/hyperlink" Target="https://elearn.nubip.edu.ua/mod/glossary/showentry.php?eid=198912&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2022-11-02T14:00:00Z</dcterms:created>
  <dcterms:modified xsi:type="dcterms:W3CDTF">2022-11-02T14:02:00Z</dcterms:modified>
</cp:coreProperties>
</file>