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D9" w:rsidRPr="00AA1318" w:rsidRDefault="00BD56D9" w:rsidP="00AA1318">
      <w:pPr>
        <w:widowControl w:val="0"/>
        <w:spacing w:line="288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A131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ТЕМА 6. ПОРУШЕННЯ, БАР</w:t>
      </w:r>
      <w:r w:rsidR="00707C9F" w:rsidRPr="00AA131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’</w:t>
      </w:r>
      <w:r w:rsidRPr="00AA131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ЄРИ ТА ТРУДНОЩІ СПІЛКУВАННЯ</w:t>
      </w:r>
    </w:p>
    <w:p w:rsid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1. ТРУДНОЩІ СПІЛКУВАННЯ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Спілкування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це процес взаємодії принаймні двох осіб, спрямований на взаємне пізнання, встановлення і розвиток стосунків, взаємовплив на стани, погляди і поведінку, а також на регуляцію їхньої спільної діяльності. Питання про ефективність людського спілкування універсальне.</w:t>
      </w:r>
    </w:p>
    <w:p w:rsidR="00BD56D9" w:rsidRPr="00AA1318" w:rsidRDefault="00BD56D9" w:rsidP="00AA1318">
      <w:pPr>
        <w:widowControl w:val="0"/>
        <w:tabs>
          <w:tab w:val="left" w:pos="1696"/>
          <w:tab w:val="left" w:pos="4265"/>
          <w:tab w:val="left" w:pos="6112"/>
          <w:tab w:val="left" w:pos="8384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Під час спілкування багато людей відчувають певні труднощі (бар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 спілкування), які впливають на ефективність обміну інформацією, взаємодію, сприймання людьми одне одного. Вони мають соціальний або психологічний характер.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 спілкування можуть бути пов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язані з характерами людей, їх прагненнями, поглядами, 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мовними</w:t>
      </w:r>
      <w:proofErr w:type="spellEnd"/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особливостями,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манерами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релігійними поглядами тощо. Однак процес комунікації може здійснюватися і при цих труднощах.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Психологічними причинами труднощів у спілкуванні є: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–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нереальні цілі;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0" w:name="_page_153_0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неадекватна оцінка партнера, його здібностей та інтересів;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неправильні уявлення про власні можливості;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нерозуміння характеру оцінки й ставлення партнера;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вживання не придатних до цієї ситуації способів звертання до партнера.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Труднощі у професійному спілкуванні виникають через: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належність його учасників до різних вікових груп;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відмінність життєвого досвіду;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різний вік співробітників;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неоднаковий рівень розвитку особистості;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неоднаковий інтелектуальний рівень тощо.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Професійне спілкування фахівців аптечних закладів має свої особливості, що викликано певними труднощами, а саме: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інформаційні труднощі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(невміння фахівця повідомити що-небудь, висловити свою думку, формулювати запитання співрозмовнику);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індивідуально-особистісні відмінності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(егоцентризм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сконцентрованість на собі, своїх поглядах, цілях і переживаннях, не-чутливість до переживань інших людей);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комунікативні труднощі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(невміння висловити думку, завершити повідомлення, аргументовано переконати тощо).</w:t>
      </w:r>
    </w:p>
    <w:p w:rsidR="00BD56D9" w:rsidRPr="00AA1318" w:rsidRDefault="00BD56D9" w:rsidP="00AA1318">
      <w:pPr>
        <w:widowControl w:val="0"/>
        <w:tabs>
          <w:tab w:val="left" w:pos="477"/>
          <w:tab w:val="left" w:pos="1746"/>
          <w:tab w:val="left" w:pos="3183"/>
          <w:tab w:val="left" w:pos="5690"/>
          <w:tab w:val="left" w:pos="8173"/>
          <w:tab w:val="left" w:pos="9724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Труднощі професійного спілкування фармацевтичних фахівців залежать також від пізнавальної складності особистості. Доведено, що підвищення рівня пізнавальної складності особистості, розширення обсягу знань про психологічні особливості оточуючих загалом пов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язано з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ростом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ступеня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комунікативної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компетентності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фахівця,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 виявляється в умінні уникати конфліктів, широті дружніх контактів, умінні розуміти відвідувача аптеки, його потреби та ін.</w:t>
      </w:r>
    </w:p>
    <w:p w:rsidR="00BD56D9" w:rsidRPr="00AA1318" w:rsidRDefault="00BD56D9" w:rsidP="00AA1318">
      <w:pPr>
        <w:widowControl w:val="0"/>
        <w:tabs>
          <w:tab w:val="left" w:pos="2734"/>
          <w:tab w:val="left" w:pos="3514"/>
          <w:tab w:val="left" w:pos="5227"/>
          <w:tab w:val="left" w:pos="7051"/>
          <w:tab w:val="left" w:pos="8563"/>
          <w:tab w:val="left" w:pos="925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 під час якого виникають певні труднощі, характеризується емоційним напруженням і невідповідністю досягнутих результатів заданим цілям. Труднощі у спілкуванні можуть бути пов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язані із сором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язливістю, відчуженістю та самотністю. Встановлено, що у фахівців, які відчувають труднощі у спілкуванні, яскраво виявлена тривожність. Дослідження показали, що в кожного з них свій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комплекс неповноцінності,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деформує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ставлення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фахівця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інших співрозмовників.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Вихід із складної ситуації, викликаної труднощами спілкування, можливий за умови дотримання принципів рівності, усвідомлення себе та оточення через своє уявлення про інших. Людина, яка не усвідомлює</w:t>
      </w:r>
      <w:bookmarkStart w:id="1" w:name="_page_155_0"/>
      <w:bookmarkEnd w:id="0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  <w:lang w:val="ru-RU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себе у ролі суб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єкта спілкування, не має чіткого внутрішнього образу, приречена на проблеми у спілкуванні.</w:t>
      </w:r>
    </w:p>
    <w:p w:rsidR="00BD56D9" w:rsidRPr="00AA1318" w:rsidRDefault="00BD56D9" w:rsidP="00AA1318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2. БАР</w:t>
      </w:r>
      <w:r w:rsidR="00707C9F"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ЄРИ У СПІЛКУВАННІ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Налагодження і розвиток контактів, сприймання партнера по спілкуванню у процесі міжособистісної взаємодії наштовхуються на різноманітні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єри, які можуть виникати через відсутність розуміння між учасниками спілкування, яке виникає на ґрунті соціальних, політичних, релігійних, професійних відмінностей.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 можуть бути викликані різними причинами. Тому можна виділити такі їхні види: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комунікативний;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психологічний;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інтелектуальний;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бар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єри культурних упереджень;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естетичний;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мотиваційний;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емоційний тощо.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Комунікативні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франц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barriere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перешкода) </w:t>
      </w:r>
      <w:r w:rsidRPr="00AA1318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психологічні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перешкоди, що виникають на шляху отримання інформації.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Комунікативні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 виникають на міжособистісному рівні, виявляються в інформаційному перевантаженні (великий обсяг інформації знецінює її зміст).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Установлення комунікативного контакту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це передусім уникнення всього того, що може його порушити. 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Комунікативні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єри залежать від:</w:t>
      </w:r>
    </w:p>
    <w:p w:rsidR="00BD56D9" w:rsidRPr="00AA1318" w:rsidRDefault="00707C9F" w:rsidP="00AA1318">
      <w:pPr>
        <w:widowControl w:val="0"/>
        <w:tabs>
          <w:tab w:val="left" w:pos="152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індивідуальних особливостей особистості (сором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язливість, потайливість, некомунікабельність);</w:t>
      </w:r>
    </w:p>
    <w:p w:rsidR="00707C9F" w:rsidRPr="00AA1318" w:rsidRDefault="00707C9F" w:rsidP="00AA1318">
      <w:pPr>
        <w:widowControl w:val="0"/>
        <w:tabs>
          <w:tab w:val="left" w:pos="1517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уваги в процесі комунікативної взаємодії; </w:t>
      </w:r>
    </w:p>
    <w:p w:rsidR="00BD56D9" w:rsidRPr="00AA1318" w:rsidRDefault="00707C9F" w:rsidP="00AA1318">
      <w:pPr>
        <w:widowControl w:val="0"/>
        <w:tabs>
          <w:tab w:val="left" w:pos="1517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уміння висловлювати думки;</w:t>
      </w:r>
    </w:p>
    <w:p w:rsidR="00707C9F" w:rsidRPr="00AA1318" w:rsidRDefault="00707C9F" w:rsidP="00AA1318">
      <w:pPr>
        <w:widowControl w:val="0"/>
        <w:tabs>
          <w:tab w:val="left" w:pos="1517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різниці у віці співрозмовників; </w:t>
      </w:r>
    </w:p>
    <w:p w:rsidR="00BD56D9" w:rsidRPr="00AA1318" w:rsidRDefault="00707C9F" w:rsidP="00AA1318">
      <w:pPr>
        <w:widowControl w:val="0"/>
        <w:tabs>
          <w:tab w:val="left" w:pos="1517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уміння слухати співрозмовника;</w:t>
      </w:r>
    </w:p>
    <w:p w:rsidR="00BD56D9" w:rsidRPr="00AA1318" w:rsidRDefault="00707C9F" w:rsidP="00AA1318">
      <w:pPr>
        <w:widowControl w:val="0"/>
        <w:tabs>
          <w:tab w:val="left" w:pos="1522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особливих психологічних стосунків, що склалися між людьми: неприязнь, недовіра тощо.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До труднощів, які мають соціально-психологічне походження, належать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єри, які виникають між партнерами. Вони пов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язані з різною соціальною й етнічною належністю.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Психологічний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формується на підставі попереднього досвіду як негативна установка, розбіжність інтересів партнерів по спілкуванню</w:t>
      </w:r>
      <w:bookmarkStart w:id="2" w:name="_page_157_0"/>
      <w:bookmarkEnd w:id="1"/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тощо. Найтиповішими психологічними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єрами є поганий контакт та негативна установка на співрозмовника.</w:t>
      </w:r>
    </w:p>
    <w:p w:rsidR="00BD56D9" w:rsidRPr="00AA1318" w:rsidRDefault="00BD56D9" w:rsidP="00AA1318">
      <w:pPr>
        <w:widowControl w:val="0"/>
        <w:tabs>
          <w:tab w:val="left" w:pos="3371"/>
          <w:tab w:val="left" w:pos="6728"/>
          <w:tab w:val="left" w:pos="8429"/>
          <w:tab w:val="left" w:pos="9750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Інтелектуальні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виникають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унаслідок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різного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інтелектуального рівня партнерів. Різні інтереси співрозмовників, культура мови, поверховість міркувань викликає незадоволення та небажання спілкуватись.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Інтелектуально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розвинена та ерудована людина знаходить певні спільні теми з менш розвиненою особою, але для постійного спілкування вони навряд чи будуть вважати один одного цікавими партнерами і відчуватимуть певний психологічний дискомфорт від усвідомлення свого інтелектуального відставання.</w:t>
      </w:r>
    </w:p>
    <w:p w:rsidR="00BD56D9" w:rsidRPr="00AA1318" w:rsidRDefault="00BD56D9" w:rsidP="00AA1318">
      <w:pPr>
        <w:widowControl w:val="0"/>
        <w:tabs>
          <w:tab w:val="left" w:pos="2169"/>
          <w:tab w:val="left" w:pos="4454"/>
          <w:tab w:val="left" w:pos="6683"/>
          <w:tab w:val="left" w:pos="8525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єри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культурних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упереджень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породжені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поглядами, звичками і традиціями різних народів. Негативні расові та національні установки є підґрунтям расизму і націоналізму.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Естетичні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взаєморозуміння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виникають унаслідок низької привабливості партнера у його зовнішньому вигляді, мові та манерах поведінки. Усувають такий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 шляхом самоконтролю поведінки.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Мотиваційні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роблять спілкування партнерів нецікавим або непотрібним. Це може бути спричинено або неактуальною, далекою від інтересів, неприємною темою, або тим, що у цей момент у людини є більш необхідна справа, ніж ця розмова.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Емоційні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взаєморозуміння -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це небажання спілкуватися, заглиблюватись у проблеми співрозмовника і співчувати йому внаслідок антипатії до нього (образи, роздратування, ненависті, презирства, неповаги та ін.). Вони містять дуже багато різноманітних ситуацій і найбільш характерні для зіпсованих стосунків, а також стосунків опонентів у різних конфліктах. Долають їх за допомогою усмішки, чуйного ставлення до співрозмовника.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Комунікативні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 мають інтелектуальні джерела, які можна класифікувати за елементами усвідомлення дій суб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єктів комунікації (табл. 2).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Таблиця 2</w:t>
      </w:r>
    </w:p>
    <w:p w:rsidR="00BD56D9" w:rsidRPr="00AA1318" w:rsidRDefault="00BD56D9" w:rsidP="00AA1318">
      <w:pPr>
        <w:widowControl w:val="0"/>
        <w:tabs>
          <w:tab w:val="left" w:pos="3193"/>
          <w:tab w:val="left" w:pos="5224"/>
          <w:tab w:val="left" w:pos="7894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bookmarkStart w:id="3" w:name="_page_159_0"/>
      <w:bookmarkEnd w:id="2"/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І</w:t>
      </w: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нтелектуальні джерела комунікативних бар</w:t>
      </w:r>
      <w:r w:rsidR="00707C9F"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 xml:space="preserve">єрів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2369"/>
        <w:gridCol w:w="2435"/>
        <w:gridCol w:w="2439"/>
      </w:tblGrid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Усвідомлення комунікації як процесу</w:t>
            </w:r>
          </w:p>
        </w:tc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«Я»</w:t>
            </w:r>
          </w:p>
        </w:tc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Зміни від взаємодії</w:t>
            </w:r>
          </w:p>
        </w:tc>
        <w:tc>
          <w:tcPr>
            <w:tcW w:w="2603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center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«Не Я»</w:t>
            </w:r>
          </w:p>
        </w:tc>
      </w:tr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Позиція</w:t>
            </w:r>
          </w:p>
        </w:tc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 xml:space="preserve">Хто я у цій </w:t>
            </w:r>
            <w:r w:rsidR="00707C9F" w:rsidRPr="00AA1318">
              <w:rPr>
                <w:rFonts w:ascii="Times New Roman" w:hAnsi="Times New Roman" w:cs="Times New Roman"/>
              </w:rPr>
              <w:t>ситуації?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Спільна позиція</w:t>
            </w:r>
            <w:r w:rsidR="00707C9F" w:rsidRPr="00AA1318">
              <w:rPr>
                <w:rFonts w:ascii="Times New Roman" w:hAnsi="Times New Roman" w:cs="Times New Roman"/>
              </w:rPr>
              <w:t xml:space="preserve"> </w:t>
            </w:r>
            <w:r w:rsidR="00707C9F" w:rsidRPr="00AA1318">
              <w:rPr>
                <w:rFonts w:ascii="Times New Roman" w:hAnsi="Times New Roman" w:cs="Times New Roman"/>
              </w:rPr>
              <w:t>у</w:t>
            </w:r>
            <w:r w:rsidR="00707C9F" w:rsidRPr="00AA1318">
              <w:rPr>
                <w:rFonts w:ascii="Times New Roman" w:hAnsi="Times New Roman" w:cs="Times New Roman"/>
              </w:rPr>
              <w:t xml:space="preserve"> </w:t>
            </w:r>
            <w:r w:rsidR="00707C9F" w:rsidRPr="00AA1318">
              <w:rPr>
                <w:rFonts w:ascii="Times New Roman" w:hAnsi="Times New Roman" w:cs="Times New Roman"/>
              </w:rPr>
              <w:t>взаємодії</w:t>
            </w:r>
          </w:p>
        </w:tc>
        <w:tc>
          <w:tcPr>
            <w:tcW w:w="2603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Хто він у цій ситуації?</w:t>
            </w:r>
          </w:p>
        </w:tc>
      </w:tr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Цілі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 xml:space="preserve">До чого мені це спілкування? 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Самовизначення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  <w:r w:rsidRPr="00AA1318">
              <w:rPr>
                <w:rFonts w:ascii="Times New Roman" w:hAnsi="Times New Roman" w:cs="Times New Roman"/>
              </w:rPr>
              <w:t>кожного</w:t>
            </w:r>
          </w:p>
        </w:tc>
        <w:tc>
          <w:tcPr>
            <w:tcW w:w="2603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До чого йому це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  <w:r w:rsidRPr="00AA1318">
              <w:rPr>
                <w:rFonts w:ascii="Times New Roman" w:hAnsi="Times New Roman" w:cs="Times New Roman"/>
              </w:rPr>
              <w:t>спілкування?</w:t>
            </w:r>
          </w:p>
        </w:tc>
      </w:tr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Зміст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 xml:space="preserve">Що я отримаю від спілкування? 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Спільні правила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  <w:r w:rsidRPr="00AA1318">
              <w:rPr>
                <w:rFonts w:ascii="Times New Roman" w:hAnsi="Times New Roman" w:cs="Times New Roman"/>
              </w:rPr>
              <w:t>взаємодії</w:t>
            </w:r>
          </w:p>
        </w:tc>
        <w:tc>
          <w:tcPr>
            <w:tcW w:w="2603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Що отримує людина від спілкування зі мною?</w:t>
            </w:r>
          </w:p>
        </w:tc>
      </w:tr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Методи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 xml:space="preserve">Як я можу досяг ти розуміння? 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Спільні способи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  <w:r w:rsidRPr="00AA1318">
              <w:rPr>
                <w:rFonts w:ascii="Times New Roman" w:hAnsi="Times New Roman" w:cs="Times New Roman"/>
              </w:rPr>
              <w:t>Дії</w:t>
            </w:r>
          </w:p>
        </w:tc>
        <w:tc>
          <w:tcPr>
            <w:tcW w:w="2603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Як інша людина</w:t>
            </w:r>
            <w:r w:rsidRPr="00AA1318">
              <w:rPr>
                <w:rFonts w:ascii="Times New Roman" w:hAnsi="Times New Roman" w:cs="Times New Roman"/>
              </w:rPr>
              <w:t xml:space="preserve"> </w:t>
            </w:r>
            <w:r w:rsidRPr="00AA1318">
              <w:rPr>
                <w:rFonts w:ascii="Times New Roman" w:hAnsi="Times New Roman" w:cs="Times New Roman"/>
              </w:rPr>
              <w:t>може досягти ро</w:t>
            </w:r>
            <w:r w:rsidRPr="00AA1318">
              <w:rPr>
                <w:rFonts w:ascii="Times New Roman" w:hAnsi="Times New Roman" w:cs="Times New Roman"/>
              </w:rPr>
              <w:t>зуміння</w:t>
            </w:r>
          </w:p>
        </w:tc>
      </w:tr>
      <w:tr w:rsidR="00AA1318" w:rsidRPr="00AA1318" w:rsidTr="00BD56D9">
        <w:tc>
          <w:tcPr>
            <w:tcW w:w="2602" w:type="dxa"/>
          </w:tcPr>
          <w:p w:rsidR="00BD56D9" w:rsidRPr="00AA1318" w:rsidRDefault="00BD56D9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hAnsi="Times New Roman" w:cs="Times New Roman"/>
              </w:rPr>
            </w:pPr>
            <w:r w:rsidRPr="00AA1318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 xml:space="preserve">Чи зрозуміли мене? </w:t>
            </w:r>
          </w:p>
        </w:tc>
        <w:tc>
          <w:tcPr>
            <w:tcW w:w="2602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Досягнення однієї та іншої сторони</w:t>
            </w:r>
          </w:p>
        </w:tc>
        <w:tc>
          <w:tcPr>
            <w:tcW w:w="2603" w:type="dxa"/>
          </w:tcPr>
          <w:p w:rsidR="00BD56D9" w:rsidRPr="00AA1318" w:rsidRDefault="00707C9F" w:rsidP="00AA1318">
            <w:pPr>
              <w:widowControl w:val="0"/>
              <w:tabs>
                <w:tab w:val="left" w:pos="3193"/>
                <w:tab w:val="left" w:pos="5224"/>
                <w:tab w:val="left" w:pos="7894"/>
              </w:tabs>
              <w:jc w:val="both"/>
              <w:rPr>
                <w:rFonts w:ascii="Times New Roman" w:eastAsia="Century Schoolbook" w:hAnsi="Times New Roman" w:cs="Times New Roman"/>
                <w:b/>
                <w:bCs/>
                <w:color w:val="000000"/>
              </w:rPr>
            </w:pPr>
            <w:r w:rsidRPr="00AA1318">
              <w:rPr>
                <w:rFonts w:ascii="Times New Roman" w:hAnsi="Times New Roman" w:cs="Times New Roman"/>
              </w:rPr>
              <w:t>Чи зрозуміли співрозмовника?</w:t>
            </w:r>
          </w:p>
        </w:tc>
      </w:tr>
    </w:tbl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Будь-яка інформація, </w:t>
      </w:r>
      <w:bookmarkStart w:id="4" w:name="_GoBack"/>
      <w:bookmarkEnd w:id="4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 надходить до людини, несе в собі елементи впливу на її поведінку, думки і бажання з метою їхньої зміни, тому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єри в процесі обміну інформацією ніби захищають нас від стороннього психологічного впливу. 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Типи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єрів спілкування:</w:t>
      </w:r>
    </w:p>
    <w:p w:rsidR="00707C9F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уникнення; 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авторитет;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нерозуміння;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зовнішні бар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єри;</w:t>
      </w:r>
    </w:p>
    <w:p w:rsidR="00BD56D9" w:rsidRPr="00AA1318" w:rsidRDefault="00707C9F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внутрішні бар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lastRenderedPageBreak/>
        <w:t xml:space="preserve">Уникнення -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спостерігається уникнення джерел впливу, відхилення від контакту з партнером, при якому спілкування стає неможливим. Визначивши партнера як небезпечного в якомусь відношенні, «чужого», людина просто уникає спілкування з ним, а якщо зовсім ухилитися неможливо, докладає зусиль, щоб не сприйняти його повідомлення. З боку цей «захист» дуже добре помітний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людина неуважна, не слухає, не дивиться на співрозмовника, постійно знаходить привід відвернутися, використовує будь-який привід для припинення розмови.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Уникнення, як вид захисту від впливу, виявляється не тільки в уникненні людей, але й у відхиленні від певних ситуацій, таких, в яких може виникнути небезпека «шкідливого» впливу. Таким чином, найпростіший спосіб захисту від впливу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уникнути зіткнення з джерелом цього впливу.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5" w:name="_page_161_0"/>
      <w:bookmarkEnd w:id="3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Авторитет.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Розділивши всіх людей на авторитетних і неавторитетних, людина довіряє тільки першим і відмовляє в цьому другим. Авторитетним людям виявляється повна довіра, щодо всіх інших, кому довіри немає ніякої, те, що вони говорять, не має ніякого значення. Таким чином, довіра і недовіра «залежать» не від особливостей переданої інформації, а від того, хто її подає.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 зв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язку з цим дуже важливо знати, звідки цей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єр береться, від чого залежить присвоєння конкретній людині авторитету. Це може бути і соціальний стан (статус) партнера, і його привабливість у певних ситуаціях, гарне ставлення до адресатів впливу.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Нерозуміння.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Далеко не завжди є можливість визначити джерело інформації як небезпечне, чуже чи неавторитетне і в такий спосіб захиститися від небажаного впливу. Досить часто якась небезпечна інформація може виходити і від людей, яким ми в цілому довіряємо (від «своїх» чи цілком авторитетних). У такому випадку захистом буде «нерозуміння» самого повідомлення.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Зовнішні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єри.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Захист від впливу іншої людини в спілкуванні може набувати вигляду уникнення, заперечення авторитетності чи джерела нерозуміння. В усіх випадках результатом спрацьовування того чи іншого бар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єрного механізму буде неприйняття впливу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він не буде сприйнятий. Підставами для захисту є різні ознаки.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Внутрішні бар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єри </w:t>
      </w:r>
      <w:r w:rsidR="00707C9F"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ставлення людини до вже прийнятної і зрозумілої, але в той же час неприємної та небезпечної інформації.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Отже, ефективному спілкуванню можуть заважати різні перешкоди, що зумовлені особистісними установками. Практично для всіх людей важливо вміти спілкуватися таким чином, щоб їх правильно розуміли, слухали і чули.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Комунікація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це процес двостороннього обміну думками й інформацією, що приводить до взаємного розуміння. Якщо не досягається взаєморозуміння у професійному та особистісному спіл-куванні, той й комунікація не відбулася.</w:t>
      </w:r>
    </w:p>
    <w:p w:rsidR="00BD56D9" w:rsidRPr="00AA1318" w:rsidRDefault="00BD56D9" w:rsidP="00AA1318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color w:val="000000"/>
          <w:sz w:val="26"/>
          <w:szCs w:val="26"/>
        </w:rPr>
        <w:t>3. МАНІПУЛЯЦІЯ ПІД ЧАС ДІЛОВОГО СПІЛКУВАННЯ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Маніпулятивне спілкування передбачає вплив на партнера з метою досягнення своїх прихованих намірів та цілей, контролю над поведінкою й думками іншої особи.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Маніпуляція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вид психологічного впливу на особистість, уміле застосування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якого призводить до управління поведінкою і бажаннями співрозмовника.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bookmarkStart w:id="6" w:name="_page_163_0"/>
      <w:bookmarkEnd w:id="5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Причини маніпуляції: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1.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Недовіра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(з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являється тоді, коли людина вважає себе залежною від інших 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тому стає на шлях маніпуляцій, щоб інші завжди були у неї під контролем).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2.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Любов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(передбачає сприйняття людини такою, якою вона є і повагу до її суті. Справжня любов безкорислива і безумовна).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3.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Ризик і невизначеність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(маніпулятор впадає у відчай чи інерцію, перетворює себе на об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єкт й інших сприймає як об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єкти і речі).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4.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Схвалення всіх і кожного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(прагнення подобатися іншим, справляти на них приємне враження).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5.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Матеріальна вигода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(поширена в торгівлі та різних ділових переговорах).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Ефективність маніпуляції залежить від уміння маніпулятора використовувати психологічно уразливі позиції людини, її риси характеру, звички, бажання, достоїнства, тобто все те, що спрацьовує автоматично, без витрати часу на свідомий аналіз ситуації і себе в ній.</w:t>
      </w:r>
    </w:p>
    <w:p w:rsidR="00BD56D9" w:rsidRPr="00AA1318" w:rsidRDefault="00BD56D9" w:rsidP="00AA1318">
      <w:pPr>
        <w:widowControl w:val="0"/>
        <w:tabs>
          <w:tab w:val="left" w:pos="1776"/>
          <w:tab w:val="left" w:pos="2551"/>
          <w:tab w:val="left" w:pos="3535"/>
          <w:tab w:val="left" w:pos="4528"/>
          <w:tab w:val="left" w:pos="5218"/>
          <w:tab w:val="left" w:pos="5654"/>
          <w:tab w:val="left" w:pos="6134"/>
          <w:tab w:val="left" w:pos="6805"/>
          <w:tab w:val="left" w:pos="7694"/>
          <w:tab w:val="left" w:pos="8153"/>
          <w:tab w:val="left" w:pos="8561"/>
          <w:tab w:val="left" w:pos="8947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Практика спілкування показує, що широке використання маніпулятивного впливу, маніпулятивних засобів у діловій сфері зазвичай переноситься на сферу дружби, неформальних міжособистісних стосунків,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призводить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руйнації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близьких,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довірливих взаємовідносин між людьми. Е. 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Шостром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, автор відомого бестселера про людину-маніпулятора,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вважає,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кожному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з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нас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«сидить» маніпулятор і навіть декілька, на різній глибині, у різних іпостасях, і в ті чи інші моменти життя то один, то інший береться нами керувати.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Типи маніпуляторів (Е. </w:t>
      </w:r>
      <w:proofErr w:type="spellStart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Шостром</w:t>
      </w:r>
      <w:proofErr w:type="spellEnd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):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диктатор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(перебільшує свою силу, домінує, наказує, цитує авторитетів, робить усе, щоб жорстко управляти своєю жертвою);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легкодуха людина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(жертва диктатора, розвиває велику майстерність у стосунках з ним: не чує, мовчить, забуває; перебільшує свою чутливість);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калькулятор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(перебільшує необхідність усе і всіх контролювати; говорить неправду, намагається перехитрити й вивести на чисту воду);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причепа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(протилежність калькулятора, перебільшує власну залежність; намагається бути об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єктом турбот);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хуліган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(гіперболізує свою агресивність, жорстокість, недоброзичливість; погрожуючи, отримує вигоди);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добрий хлопець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(перебільшує власну турботу, любов, прив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язує до себе своєю підкресленою турботою; у конфлікті з хуліганом найчастіше виграє);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7" w:name="_page_165_0"/>
      <w:bookmarkEnd w:id="6"/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суддя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(гіперболізує власну критичність, нікому не вірить, важко пробачає, всіх звинувачує);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захисник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(протилежність судді, пробачає помилки інших; замість того, щоб опікуватися своїми справами, турбується про потреби інших; псує людей, не дає їм стати самостійними й самокритичними до себе і своїх дій).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Зазвичай люди належать до якогось одного з цих типів у найбільш вираженій мірі, але час від часу в них можуть проявлятися й інші типи. Маніпулятор тяжіє до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спілкування з найбільш підхожим партнером.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Не всяке маніпулювання є злом, іноді воно, на думку Е. 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Шострома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, стає необхідним з погляду боротьби за існування. Однак у більшості випадків воно завдає безсумнівної шкоди, маскуючи реальну мету спілкування і взаємодії.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 xml:space="preserve">Основні стратегії маніпуляторів (Е. </w:t>
      </w:r>
      <w:proofErr w:type="spellStart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Шостром</w:t>
      </w:r>
      <w:proofErr w:type="spellEnd"/>
      <w:r w:rsidRPr="00AA131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6"/>
          <w:szCs w:val="26"/>
        </w:rPr>
        <w:t>):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активний маніпулятор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керує іншими за допомогою активних методів, досягає задоволення, спираючись на безсилля інших і контролюючи їх, застосовує систему прав і обов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язків, наказів і прохань, табелів рангів тощо, керуючи людьми як маріонетками;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пасивний маніпулятор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вирішує, що оскільки він не може контролювати життя, то відмовиться від зусиль і дозволить розпоряджатися собою активному маніпулятору; він перемагає своєю млявістю і пасивністю, дозволяючи активному маніпулятору думати і працювати за нього;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маніпулятор, який змагається,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ставиться до життя як до стану, що потребує постійної пильності, оскільки тут можна виграти або програти - третього не дано.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байдужий маніпулятор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намагається відійти від контактів, однак насправді його поведінка пов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язана з можливістю обіграти партнера.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Існує велика кількість способів уберегтися від маніпуляцій, але всі вони складаються з певних установок: відхід, вигнання, блокування, управління, завмирання та ігнорування.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Відхід </w:t>
      </w:r>
      <w:r w:rsidR="00707C9F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це збільшення дистанції спілкування, переривання контакту.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Вигнання </w:t>
      </w:r>
      <w:r w:rsidR="00AA1318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видалення агресора (вигнання агресора з роботи, з будинку, вбивство тощо).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Блокування </w:t>
      </w:r>
      <w:r w:rsidR="00707C9F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контроль дії, створення перешкод на його шляху. 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Управління </w:t>
      </w:r>
      <w:r w:rsidR="00AA1318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–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контроль дії, вплив на агресора. Використання такого</w:t>
      </w:r>
      <w:r w:rsidR="00AA1318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захисту, як плач, скарги, підкуп тощо.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Ігнорування </w:t>
      </w:r>
      <w:r w:rsidR="00707C9F"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втрата адекватності сприйняття, ілюзії.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bookmarkStart w:id="8" w:name="_page_167_0"/>
      <w:bookmarkEnd w:id="7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Ці базові установки визначають лише напрям захисних дій. Оскільки маніпуляція найчастіше буває прихована, наявність загрози адресатом сприймається в основному </w:t>
      </w:r>
      <w:proofErr w:type="spellStart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неусвідомлено</w:t>
      </w:r>
      <w:proofErr w:type="spellEnd"/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. Щоб подолати в собі маніпуляції, необхідно усвідомити власні маніпуляції, визнати їх в собі, побачити нещирі почуття, і розгледіти за ними справжні почуття і насмілитися виразити їх.</w:t>
      </w:r>
    </w:p>
    <w:p w:rsidR="00BD56D9" w:rsidRPr="00AA1318" w:rsidRDefault="00BD56D9" w:rsidP="00AA1318">
      <w:pPr>
        <w:widowControl w:val="0"/>
        <w:tabs>
          <w:tab w:val="left" w:pos="1475"/>
          <w:tab w:val="left" w:pos="2073"/>
          <w:tab w:val="left" w:pos="3966"/>
          <w:tab w:val="left" w:pos="5268"/>
          <w:tab w:val="left" w:pos="7264"/>
          <w:tab w:val="left" w:pos="8286"/>
        </w:tabs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 процесі ділового спілкування виникають деякі труднощі, які мають тимчасовий або тривалий характер, що впливає на ефективність міжособистісної взаємодії. Вивчення перешкод на шляху спілкування та способів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їх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уникнення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сприяє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досягненню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мети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спілкування, поліпшенню психологічного клімату і взаємодії в колективі.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Щоб уникати труднощів в діловому спілкуванні намагайтесь дотримуватись таких правил: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уважно слухайте співрозмовника;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погоджуйтесь з його висловлюваннями, аналізуйте їх і прийміть ті, з якими ви не маєте розбіжностей;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намагайтесь зрозуміти, що той, хто критикує інших, сам невпевнений у собі, у 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lastRenderedPageBreak/>
        <w:t>своїх поглядах і здібностях;</w:t>
      </w:r>
    </w:p>
    <w:p w:rsidR="00BD56D9" w:rsidRPr="00AA1318" w:rsidRDefault="00AA1318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i/>
          <w:iCs/>
          <w:color w:val="000000"/>
          <w:sz w:val="26"/>
          <w:szCs w:val="26"/>
        </w:rPr>
        <w:t>–</w:t>
      </w:r>
      <w:r w:rsidR="00BD56D9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 xml:space="preserve"> проаналізуйте почуте і зробіть власні висновки.</w:t>
      </w:r>
    </w:p>
    <w:p w:rsidR="00BD56D9" w:rsidRPr="00AA1318" w:rsidRDefault="00BD56D9" w:rsidP="00AA1318">
      <w:pPr>
        <w:widowControl w:val="0"/>
        <w:spacing w:line="288" w:lineRule="auto"/>
        <w:ind w:firstLine="567"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</w:rPr>
      </w:pP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Отже, у процесі спілкування необхідно володіти власними емоціями, враховувати емоційні стани співрозмовників, стан здоров</w:t>
      </w:r>
      <w:r w:rsidR="00707C9F"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’</w:t>
      </w:r>
      <w:r w:rsidRPr="00AA1318">
        <w:rPr>
          <w:rFonts w:ascii="Times New Roman" w:eastAsia="Century Schoolbook" w:hAnsi="Times New Roman" w:cs="Times New Roman"/>
          <w:color w:val="000000"/>
          <w:sz w:val="26"/>
          <w:szCs w:val="26"/>
        </w:rPr>
        <w:t>я відвідувачів аптечних закладів та організовувати спілкування таким чином, щоб досягти взаєморозуміння та уникати конфліктних ситуацій.</w:t>
      </w:r>
    </w:p>
    <w:p w:rsidR="00BD56D9" w:rsidRPr="00AA1318" w:rsidRDefault="00BD56D9" w:rsidP="00AA1318">
      <w:pPr>
        <w:spacing w:line="288" w:lineRule="auto"/>
        <w:ind w:firstLine="567"/>
        <w:jc w:val="both"/>
        <w:rPr>
          <w:rFonts w:ascii="Times New Roman" w:eastAsia="Century Schoolbook" w:hAnsi="Times New Roman" w:cs="Times New Roman"/>
          <w:sz w:val="26"/>
          <w:szCs w:val="26"/>
        </w:rPr>
      </w:pPr>
    </w:p>
    <w:bookmarkEnd w:id="8"/>
    <w:p w:rsidR="00A17D45" w:rsidRPr="00AA1318" w:rsidRDefault="00A17D45" w:rsidP="00AA1318">
      <w:pPr>
        <w:spacing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A17D45" w:rsidRPr="00AA1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D9"/>
    <w:rsid w:val="002B2806"/>
    <w:rsid w:val="002E49DB"/>
    <w:rsid w:val="00707C9F"/>
    <w:rsid w:val="00A17D45"/>
    <w:rsid w:val="00AA1318"/>
    <w:rsid w:val="00AF137B"/>
    <w:rsid w:val="00B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F8D4D-CB0D-4CCC-90E1-D4FD083C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D9"/>
    <w:pPr>
      <w:spacing w:after="0"/>
    </w:pPr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1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10149</Words>
  <Characters>5786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2022-11-08T17:31:00Z</dcterms:created>
  <dcterms:modified xsi:type="dcterms:W3CDTF">2022-11-08T18:03:00Z</dcterms:modified>
</cp:coreProperties>
</file>