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43" w:rsidRPr="00A96B43" w:rsidRDefault="00A96B43" w:rsidP="00A96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>ЗМІСТОВИЙ МОДУЛЬ1.1.</w:t>
      </w:r>
    </w:p>
    <w:p w:rsidR="00A96B43" w:rsidRPr="00A96B43" w:rsidRDefault="00A96B43" w:rsidP="00A96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>ТЕОРЕТИКО-МЕТОДОЛОГІЧНІ ОСНОВИ ІВЕНТ-ТЕХНОЛОГІЙ</w:t>
      </w:r>
    </w:p>
    <w:p w:rsidR="00A96B43" w:rsidRPr="00A96B43" w:rsidRDefault="00A96B43" w:rsidP="00671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>ТЕМА1. ПОНЯТТЯ ТА ЗМІСТ</w:t>
      </w:r>
      <w:r w:rsidR="00671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B43">
        <w:rPr>
          <w:rFonts w:ascii="Times New Roman" w:hAnsi="Times New Roman" w:cs="Times New Roman"/>
          <w:sz w:val="28"/>
          <w:szCs w:val="28"/>
        </w:rPr>
        <w:t>EVENT. КЛАСИФІКАЦІЯ ПОДІЙ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Типологія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AE0" w:rsidRDefault="00671AE0" w:rsidP="00A96B43">
      <w:pPr>
        <w:rPr>
          <w:rFonts w:ascii="Times New Roman" w:hAnsi="Times New Roman" w:cs="Times New Roman"/>
          <w:sz w:val="28"/>
          <w:szCs w:val="28"/>
        </w:rPr>
      </w:pP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Івент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«Я не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пригадаю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заходу,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не став би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подією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забув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="00644B28">
        <w:rPr>
          <w:rFonts w:ascii="Times New Roman" w:hAnsi="Times New Roman" w:cs="Times New Roman"/>
          <w:sz w:val="28"/>
          <w:szCs w:val="28"/>
          <w:lang w:val="uk-UA"/>
        </w:rPr>
        <w:t xml:space="preserve">  с</w:t>
      </w:r>
      <w:r w:rsidRPr="00A96B43">
        <w:rPr>
          <w:rFonts w:ascii="Times New Roman" w:hAnsi="Times New Roman" w:cs="Times New Roman"/>
          <w:sz w:val="28"/>
          <w:szCs w:val="28"/>
        </w:rPr>
        <w:t>лова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вдало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взаємозв'язок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заходом і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виключною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подією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44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заходу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справжню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визиває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="00644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тривалому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збереженню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Поняттяevent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об'єктивно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вимірювану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,  а</w:t>
      </w:r>
      <w:r w:rsidR="00644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винятковий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заходу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сприймається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суб’єктивно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почуттях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переживає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Категорія«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україномовних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етимологічних</w:t>
      </w:r>
      <w:proofErr w:type="spellEnd"/>
      <w:r w:rsidR="00644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B43">
        <w:rPr>
          <w:rFonts w:ascii="Times New Roman" w:hAnsi="Times New Roman" w:cs="Times New Roman"/>
          <w:sz w:val="28"/>
          <w:szCs w:val="28"/>
        </w:rPr>
        <w:t xml:space="preserve">словниках,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з'явилася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недавно. Вона</w:t>
      </w:r>
      <w:r w:rsidR="00644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B43">
        <w:rPr>
          <w:rFonts w:ascii="Times New Roman" w:hAnsi="Times New Roman" w:cs="Times New Roman"/>
          <w:sz w:val="28"/>
          <w:szCs w:val="28"/>
        </w:rPr>
        <w:t xml:space="preserve">походить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англійськогоevent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визначень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Перше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Роберту Ф.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Джані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одному з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парку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="00644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B43">
        <w:rPr>
          <w:rFonts w:ascii="Times New Roman" w:hAnsi="Times New Roman" w:cs="Times New Roman"/>
          <w:sz w:val="28"/>
          <w:szCs w:val="28"/>
        </w:rPr>
        <w:t xml:space="preserve">Уолта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Діснея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: «Заходи-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звичайного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Друге - Д-р Джо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Голдблатт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один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зevent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-гуру,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визначив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B43">
        <w:rPr>
          <w:rFonts w:ascii="Times New Roman" w:hAnsi="Times New Roman" w:cs="Times New Roman"/>
          <w:sz w:val="28"/>
          <w:szCs w:val="28"/>
        </w:rPr>
        <w:t>заходи(</w:t>
      </w:r>
      <w:proofErr w:type="spellStart"/>
      <w:proofErr w:type="gramEnd"/>
      <w:r w:rsidRPr="00A96B43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events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)  так: «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−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унікальний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відрізок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часу,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проводиться  з</w:t>
      </w:r>
      <w:r w:rsidR="00644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ритуалів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церемоній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потреб.»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Шумовіча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директора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компаніїEventum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, члена</w:t>
      </w:r>
      <w:r w:rsidR="00644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асоціаціїISES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членаAmCham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вид</w:t>
      </w:r>
      <w:r w:rsidR="00644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людей,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обмежений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 часом і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реалізацією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96B4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англ.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−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розважальна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рекламна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вистава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здійснювана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театральній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сцені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телеекрані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на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спортивній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44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цирковій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арені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сюжетних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ходів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образотворчих</w:t>
      </w:r>
      <w:proofErr w:type="spellEnd"/>
      <w:r w:rsidR="00644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світлової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комп'ютерної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і.т.п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церемонію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шоу.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запланована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соціально-суспільна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в</w:t>
      </w:r>
      <w:r w:rsidR="00644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метою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резонанс для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поняттяevent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644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смислові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відтінки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сприятливого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виняткової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644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A96B43">
        <w:rPr>
          <w:rFonts w:ascii="Times New Roman" w:hAnsi="Times New Roman" w:cs="Times New Roman"/>
          <w:sz w:val="28"/>
          <w:szCs w:val="28"/>
        </w:rPr>
        <w:t xml:space="preserve">ймовірного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бажаного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результату, заходу, спортивного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Характерним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дляevent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дослівному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вкладається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природничих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науках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інформатиці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) є те,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приурочений до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часу.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6B43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діалектах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вимова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слова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різна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так  в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Англії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присутня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вимова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ефент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«стара»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Австралії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переважає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вимова«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>Евент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слова при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різниться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ціла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індустрія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шоу  як  приватного,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характеру,  так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6B43">
        <w:rPr>
          <w:rFonts w:ascii="Times New Roman" w:hAnsi="Times New Roman" w:cs="Times New Roman"/>
          <w:sz w:val="28"/>
          <w:szCs w:val="28"/>
        </w:rPr>
        <w:t>державного  і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масштабу(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Інавгурація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президента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США).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заходу  шляхом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ефектів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абсолютно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виняткове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 точки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6B43">
        <w:rPr>
          <w:rFonts w:ascii="Times New Roman" w:hAnsi="Times New Roman" w:cs="Times New Roman"/>
          <w:sz w:val="28"/>
          <w:szCs w:val="28"/>
        </w:rPr>
        <w:t>В  основу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івент-технології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ретельне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та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бездоганна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кожного  заходу.  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Винятковість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приносить  і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вигоду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,  яка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часу, коли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ясно,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збої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виправданість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заходу.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Поняттюevent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властиві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стійкі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характеристики: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сприймається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виняткова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винятковою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подією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 точки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запорука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ретельна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сплановане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інсценування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6B43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аналогічного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порядку  для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6B43">
        <w:rPr>
          <w:rFonts w:ascii="Times New Roman" w:hAnsi="Times New Roman" w:cs="Times New Roman"/>
          <w:sz w:val="28"/>
          <w:szCs w:val="28"/>
        </w:rPr>
        <w:t>•  результат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є  сам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і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відстрочити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виправити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пройшло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пройшло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• результат є 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унікальним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раз і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lastRenderedPageBreak/>
        <w:t>повториться»</w:t>
      </w:r>
      <w:proofErr w:type="gramStart"/>
      <w:r w:rsidRPr="00A96B43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суб'єктивного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виняткова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помічає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• результат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незмінним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запасти про запас;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він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знецінюється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мало(«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виняткова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6B43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з  результатом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масштабніша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як  за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часу, так і за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proofErr w:type="gram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контролю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заходом,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претендує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стати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винятковою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подією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обмежені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заходами особливо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значимі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96B43">
        <w:rPr>
          <w:rFonts w:ascii="Times New Roman" w:hAnsi="Times New Roman" w:cs="Times New Roman"/>
          <w:sz w:val="28"/>
          <w:szCs w:val="28"/>
        </w:rPr>
        <w:t>з  точки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менеджменту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підсумком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проекту  є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його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а внести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в результат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проектом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96B43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людей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пов'язаними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між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собою. Тому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логістика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роль,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аніж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проектах;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6B43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життєздатний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тому,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маркетинг, реклама та РR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кінцевому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підсумку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вирішальне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виняткових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подіях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ризиками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Підготовчий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повинен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планомірно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охоплювати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96B43">
        <w:rPr>
          <w:rFonts w:ascii="Times New Roman" w:hAnsi="Times New Roman" w:cs="Times New Roman"/>
          <w:sz w:val="28"/>
          <w:szCs w:val="28"/>
        </w:rPr>
        <w:t>логістика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монтаж і демонтаж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B43">
        <w:rPr>
          <w:rFonts w:ascii="Times New Roman" w:hAnsi="Times New Roman" w:cs="Times New Roman"/>
          <w:sz w:val="28"/>
          <w:szCs w:val="28"/>
        </w:rPr>
        <w:t xml:space="preserve">того,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задіяні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, з моменту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до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проекту на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організатора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заходу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лягає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величезний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Організатору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доводиться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справу не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відвідувачами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але і з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постачальниками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lastRenderedPageBreak/>
        <w:t>фінансовими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структурами. Перед великою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стоять перед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ним,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до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того ж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кругозір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ясний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Неувага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як до очевидно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,  так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і  до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дрібниць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заходу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.  З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6B43">
        <w:rPr>
          <w:rFonts w:ascii="Times New Roman" w:hAnsi="Times New Roman" w:cs="Times New Roman"/>
          <w:sz w:val="28"/>
          <w:szCs w:val="28"/>
        </w:rPr>
        <w:t>початком  заходу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залишиться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часу  на  будь-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,  а  тому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безпосередні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покладаються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ця</w:t>
      </w:r>
      <w:proofErr w:type="spellEnd"/>
      <w:proofErr w:type="gram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зводиться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ключем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Типологія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івент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Першими заходами в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ймовірно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стародавні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релігійні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ритуали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посвята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воїни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вождя,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вдалого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полювання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жертвопринесення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першими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шамани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знав і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створював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ритуали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З часом заходи ставали все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вишуканим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складнішими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З'явилися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загальноміські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та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свята,  стали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коронації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масштабні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релігійні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дійства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охоплюють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континенти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людей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обходиться  без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:  ми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святкуємо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весілля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влаштовуємо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річниці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ювілеї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[2].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- за характером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96B43">
        <w:rPr>
          <w:rFonts w:ascii="Times New Roman" w:hAnsi="Times New Roman" w:cs="Times New Roman"/>
          <w:sz w:val="28"/>
          <w:szCs w:val="28"/>
        </w:rPr>
        <w:t>ділове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розважальне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персони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96B43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корпоративне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96B43">
        <w:rPr>
          <w:rFonts w:ascii="Times New Roman" w:hAnsi="Times New Roman" w:cs="Times New Roman"/>
          <w:sz w:val="28"/>
          <w:szCs w:val="28"/>
        </w:rPr>
        <w:t>приміський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свята на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і на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закритих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Широкий спектр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класифікувати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безліччю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таких як, </w:t>
      </w:r>
      <w:proofErr w:type="gramStart"/>
      <w:r w:rsidRPr="00A96B43">
        <w:rPr>
          <w:rFonts w:ascii="Times New Roman" w:hAnsi="Times New Roman" w:cs="Times New Roman"/>
          <w:sz w:val="28"/>
          <w:szCs w:val="28"/>
        </w:rPr>
        <w:t>вид(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характер,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масштаби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приватнийevent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свята,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весілля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еvent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96B43">
        <w:rPr>
          <w:rFonts w:ascii="Times New Roman" w:hAnsi="Times New Roman" w:cs="Times New Roman"/>
          <w:sz w:val="28"/>
          <w:szCs w:val="28"/>
        </w:rPr>
        <w:t>менеджмент(</w:t>
      </w:r>
      <w:proofErr w:type="spellStart"/>
      <w:proofErr w:type="gramEnd"/>
      <w:r w:rsidRPr="00A96B4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контроль і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проектом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подією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-менеджмент,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винятковим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еvent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96B43">
        <w:rPr>
          <w:rFonts w:ascii="Times New Roman" w:hAnsi="Times New Roman" w:cs="Times New Roman"/>
          <w:sz w:val="28"/>
          <w:szCs w:val="28"/>
        </w:rPr>
        <w:t>маркетинг(</w:t>
      </w:r>
      <w:proofErr w:type="spellStart"/>
      <w:proofErr w:type="gramEnd"/>
      <w:r w:rsidRPr="00A96B43">
        <w:rPr>
          <w:rFonts w:ascii="Times New Roman" w:hAnsi="Times New Roman" w:cs="Times New Roman"/>
          <w:sz w:val="28"/>
          <w:szCs w:val="28"/>
        </w:rPr>
        <w:t>подієвий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маркетинг  −  систематична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товару(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) для того,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до  товару(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− не просто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B43">
        <w:rPr>
          <w:rFonts w:ascii="Times New Roman" w:hAnsi="Times New Roman" w:cs="Times New Roman"/>
          <w:sz w:val="28"/>
          <w:szCs w:val="28"/>
        </w:rPr>
        <w:t xml:space="preserve">марки.  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формату  і  контенту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−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те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позиціонування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марки.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простіше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виразніше</w:t>
      </w:r>
      <w:proofErr w:type="spellEnd"/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та«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>запам'ятовуваніше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(ATL).);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діловийevent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заходи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організовані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зміцненню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налагодженню</w:t>
      </w:r>
      <w:proofErr w:type="spellEnd"/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заходи</w:t>
      </w:r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компаніями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як для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внутрішньокорпоративних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так і для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 дилерами,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клієнтами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партнерами.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-заходи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компаніям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до себе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серйозний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за</w:t>
      </w:r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[14].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форматів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бізнес-івентів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прес-конференцій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презентацій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форумів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з'їздів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конгресів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делегацій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делегацій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спеціальнийevent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events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) −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заходи,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продуктам.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покликані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порушити</w:t>
      </w:r>
      <w:proofErr w:type="spellEnd"/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рутинний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звичний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самій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довкіллі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стати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подією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для</w:t>
      </w:r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Узагальнений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Розважальні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заходи: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Масові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свята в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торгових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B43">
        <w:rPr>
          <w:rFonts w:ascii="Times New Roman" w:hAnsi="Times New Roman" w:cs="Times New Roman"/>
          <w:sz w:val="28"/>
          <w:szCs w:val="28"/>
        </w:rPr>
        <w:t>точках(</w:t>
      </w:r>
      <w:proofErr w:type="spellStart"/>
      <w:proofErr w:type="gramEnd"/>
      <w:r w:rsidRPr="00A96B43">
        <w:rPr>
          <w:rFonts w:ascii="Times New Roman" w:hAnsi="Times New Roman" w:cs="Times New Roman"/>
          <w:sz w:val="28"/>
          <w:szCs w:val="28"/>
        </w:rPr>
        <w:t>рекламні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промо-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календарні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свята;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клубні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вечірки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заходи;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концерти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міські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свята;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церемонії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і т.п.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Корпоративні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lastRenderedPageBreak/>
        <w:t>календарні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свята;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свята;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заміський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і т. п.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Приватні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заходи: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весілля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свята;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календарні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свята,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заходи: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заходи: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круглі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PR-заходи,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прес-конференції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Церемонії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Корпоративні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заходи: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обіди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діловими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партнерами;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діловий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інсентив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-туризм і т. п.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r w:rsidRPr="00A96B4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Спонсорінг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підбір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заходу для спонсорства;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організаціяevent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B43">
        <w:rPr>
          <w:rFonts w:ascii="Times New Roman" w:hAnsi="Times New Roman" w:cs="Times New Roman"/>
          <w:sz w:val="28"/>
          <w:szCs w:val="28"/>
        </w:rPr>
        <w:t>для  спонсора</w:t>
      </w:r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(Спонсорство  −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вкладу(у</w:t>
      </w:r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грошового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майна,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B43">
        <w:rPr>
          <w:rFonts w:ascii="Times New Roman" w:hAnsi="Times New Roman" w:cs="Times New Roman"/>
          <w:sz w:val="28"/>
          <w:szCs w:val="28"/>
        </w:rPr>
        <w:t xml:space="preserve">особою в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особи(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спонсорується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) на</w:t>
      </w:r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спонсорованим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про  спонсора,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товарах.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Спонсорський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зізнається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платою за рекламу, а спонсор і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спонсорований</w:t>
      </w:r>
      <w:proofErr w:type="spellEnd"/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B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рекламодавцем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розповсюджувачем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A96B43" w:rsidRPr="00A96B43" w:rsidRDefault="00A96B43" w:rsidP="00A96B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6B43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proofErr w:type="gram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Шумовіч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 директор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компаніїEventum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,  член</w:t>
      </w:r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асоціаціїISES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членAmCham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 принципом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компанією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результату</w:t>
      </w:r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B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за типом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) (див. табл. 1). Даний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lastRenderedPageBreak/>
        <w:t>практиці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, так як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перспективне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бажаного</w:t>
      </w:r>
      <w:proofErr w:type="spellEnd"/>
      <w:r w:rsidR="00C01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B43">
        <w:rPr>
          <w:rFonts w:ascii="Times New Roman" w:hAnsi="Times New Roman" w:cs="Times New Roman"/>
          <w:sz w:val="28"/>
          <w:szCs w:val="28"/>
        </w:rPr>
        <w:t xml:space="preserve">результату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B4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96B43">
        <w:rPr>
          <w:rFonts w:ascii="Times New Roman" w:hAnsi="Times New Roman" w:cs="Times New Roman"/>
          <w:sz w:val="28"/>
          <w:szCs w:val="28"/>
        </w:rPr>
        <w:t>[5].</w:t>
      </w:r>
    </w:p>
    <w:sectPr w:rsidR="00A96B43" w:rsidRPr="00A96B43" w:rsidSect="00A96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43"/>
    <w:rsid w:val="00644B28"/>
    <w:rsid w:val="00671AE0"/>
    <w:rsid w:val="008F4043"/>
    <w:rsid w:val="00A96B43"/>
    <w:rsid w:val="00B21BD5"/>
    <w:rsid w:val="00C0154D"/>
    <w:rsid w:val="00C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904C1-A833-4664-A63C-ED75B7B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1648</Words>
  <Characters>9397</Characters>
  <Application>Microsoft Office Word</Application>
  <DocSecurity>0</DocSecurity>
  <Lines>78</Lines>
  <Paragraphs>22</Paragraphs>
  <ScaleCrop>false</ScaleCrop>
  <Company/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2022-11-01T10:37:00Z</dcterms:created>
  <dcterms:modified xsi:type="dcterms:W3CDTF">2022-11-01T10:45:00Z</dcterms:modified>
</cp:coreProperties>
</file>