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64B8" w14:textId="1A4AA106" w:rsidR="0026213A" w:rsidRDefault="0026213A"/>
    <w:p w14:paraId="0DA9CA04" w14:textId="5D978AD9" w:rsidR="006F0029" w:rsidRPr="007A5E81" w:rsidRDefault="007A5E81" w:rsidP="0032687C">
      <w:pPr>
        <w:spacing w:line="360" w:lineRule="auto"/>
        <w:jc w:val="center"/>
        <w:rPr>
          <w:rFonts w:ascii="Times New Roman" w:hAnsi="Times New Roman"/>
          <w:bCs/>
          <w:lang w:val="uk-UA"/>
        </w:rPr>
      </w:pPr>
      <w:r w:rsidRPr="007A5E81">
        <w:rPr>
          <w:rFonts w:ascii="Times New Roman" w:hAnsi="Times New Roman"/>
          <w:bCs/>
          <w:lang w:val="uk-UA"/>
        </w:rPr>
        <w:t xml:space="preserve">Від </w:t>
      </w:r>
      <w:r w:rsidR="0005279F">
        <w:rPr>
          <w:rFonts w:ascii="Times New Roman" w:hAnsi="Times New Roman"/>
          <w:bCs/>
          <w:lang w:val="uk-UA"/>
        </w:rPr>
        <w:t>15</w:t>
      </w:r>
      <w:r w:rsidRPr="007A5E81">
        <w:rPr>
          <w:rFonts w:ascii="Times New Roman" w:hAnsi="Times New Roman"/>
          <w:bCs/>
          <w:lang w:val="uk-UA"/>
        </w:rPr>
        <w:t>.09.202</w:t>
      </w:r>
      <w:r w:rsidR="0005279F">
        <w:rPr>
          <w:rFonts w:ascii="Times New Roman" w:hAnsi="Times New Roman"/>
          <w:bCs/>
          <w:lang w:val="uk-UA"/>
        </w:rPr>
        <w:t>2</w:t>
      </w:r>
      <w:r w:rsidRPr="007A5E81">
        <w:rPr>
          <w:rFonts w:ascii="Times New Roman" w:hAnsi="Times New Roman"/>
          <w:bCs/>
          <w:lang w:val="uk-UA"/>
        </w:rPr>
        <w:t xml:space="preserve"> </w:t>
      </w:r>
      <w:r w:rsidR="0005279F">
        <w:rPr>
          <w:rFonts w:ascii="Times New Roman" w:hAnsi="Times New Roman"/>
          <w:bCs/>
          <w:lang w:val="uk-UA"/>
        </w:rPr>
        <w:t xml:space="preserve">  10</w:t>
      </w:r>
      <w:r w:rsidRPr="007A5E81">
        <w:rPr>
          <w:rFonts w:ascii="Times New Roman" w:hAnsi="Times New Roman"/>
          <w:bCs/>
          <w:lang w:val="uk-UA"/>
        </w:rPr>
        <w:t>:</w:t>
      </w:r>
      <w:r w:rsidR="0005279F">
        <w:rPr>
          <w:rFonts w:ascii="Times New Roman" w:hAnsi="Times New Roman"/>
          <w:bCs/>
          <w:lang w:val="uk-UA"/>
        </w:rPr>
        <w:t>0</w:t>
      </w:r>
      <w:r w:rsidRPr="007A5E81">
        <w:rPr>
          <w:rFonts w:ascii="Times New Roman" w:hAnsi="Times New Roman"/>
          <w:bCs/>
          <w:lang w:val="uk-UA"/>
        </w:rPr>
        <w:t>0-</w:t>
      </w:r>
      <w:r w:rsidR="0005279F">
        <w:rPr>
          <w:rFonts w:ascii="Times New Roman" w:hAnsi="Times New Roman"/>
          <w:bCs/>
          <w:lang w:val="uk-UA"/>
        </w:rPr>
        <w:t>11</w:t>
      </w:r>
      <w:r w:rsidRPr="007A5E81">
        <w:rPr>
          <w:rFonts w:ascii="Times New Roman" w:hAnsi="Times New Roman"/>
          <w:bCs/>
          <w:lang w:val="uk-UA"/>
        </w:rPr>
        <w:t>:</w:t>
      </w:r>
      <w:r w:rsidR="0005279F">
        <w:rPr>
          <w:rFonts w:ascii="Times New Roman" w:hAnsi="Times New Roman"/>
          <w:bCs/>
          <w:lang w:val="uk-UA"/>
        </w:rPr>
        <w:t>2</w:t>
      </w:r>
      <w:r w:rsidRPr="007A5E81">
        <w:rPr>
          <w:rFonts w:ascii="Times New Roman" w:hAnsi="Times New Roman"/>
          <w:bCs/>
          <w:lang w:val="uk-UA"/>
        </w:rPr>
        <w:t xml:space="preserve">0 </w:t>
      </w:r>
      <w:r w:rsidR="0005279F">
        <w:rPr>
          <w:rFonts w:ascii="Times New Roman" w:hAnsi="Times New Roman"/>
          <w:bCs/>
          <w:lang w:val="uk-UA"/>
        </w:rPr>
        <w:t xml:space="preserve">  </w:t>
      </w:r>
      <w:r w:rsidRPr="007A5E81">
        <w:rPr>
          <w:rFonts w:ascii="Times New Roman" w:hAnsi="Times New Roman"/>
          <w:bCs/>
          <w:lang w:val="uk-UA"/>
        </w:rPr>
        <w:t>ІКС в АУТП АТ-2</w:t>
      </w:r>
      <w:r w:rsidR="0005279F">
        <w:rPr>
          <w:rFonts w:ascii="Times New Roman" w:hAnsi="Times New Roman"/>
          <w:bCs/>
          <w:lang w:val="uk-UA"/>
        </w:rPr>
        <w:t>7</w:t>
      </w:r>
      <w:r w:rsidRPr="007A5E81">
        <w:rPr>
          <w:rFonts w:ascii="Times New Roman" w:hAnsi="Times New Roman"/>
          <w:bCs/>
          <w:lang w:val="uk-UA"/>
        </w:rPr>
        <w:t xml:space="preserve">м  </w:t>
      </w:r>
      <w:proofErr w:type="spellStart"/>
      <w:r w:rsidRPr="007A5E81">
        <w:rPr>
          <w:rFonts w:ascii="Times New Roman" w:hAnsi="Times New Roman"/>
          <w:bCs/>
          <w:lang w:val="uk-UA"/>
        </w:rPr>
        <w:t>ауд</w:t>
      </w:r>
      <w:proofErr w:type="spellEnd"/>
      <w:r w:rsidRPr="007A5E81">
        <w:rPr>
          <w:rFonts w:ascii="Times New Roman" w:hAnsi="Times New Roman"/>
          <w:bCs/>
          <w:lang w:val="uk-UA"/>
        </w:rPr>
        <w:t xml:space="preserve"> </w:t>
      </w:r>
      <w:r w:rsidR="0005279F">
        <w:rPr>
          <w:rFonts w:ascii="Times New Roman" w:hAnsi="Times New Roman"/>
          <w:bCs/>
          <w:lang w:val="uk-UA"/>
        </w:rPr>
        <w:t>140</w:t>
      </w:r>
    </w:p>
    <w:p w14:paraId="538BB000" w14:textId="77777777" w:rsidR="007A5E81" w:rsidRDefault="007A5E81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Лекція 1.</w:t>
      </w:r>
    </w:p>
    <w:p w14:paraId="3EC88E1F" w14:textId="6A1D9ADD" w:rsidR="0032687C" w:rsidRDefault="0032687C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Характеристика динамічних збурень, що впливають </w:t>
      </w:r>
      <w:r>
        <w:rPr>
          <w:rFonts w:ascii="Times New Roman" w:hAnsi="Times New Roman"/>
          <w:b/>
          <w:lang w:val="uk-UA"/>
        </w:rPr>
        <w:br/>
        <w:t xml:space="preserve">на </w:t>
      </w:r>
      <w:r w:rsidR="00FF0F9F">
        <w:rPr>
          <w:rFonts w:ascii="Times New Roman" w:hAnsi="Times New Roman"/>
          <w:b/>
          <w:lang w:val="uk-UA"/>
        </w:rPr>
        <w:t>чутливий елемент (ЧЕ)</w:t>
      </w:r>
      <w:r>
        <w:rPr>
          <w:rFonts w:ascii="Times New Roman" w:hAnsi="Times New Roman"/>
          <w:b/>
          <w:lang w:val="uk-UA"/>
        </w:rPr>
        <w:t xml:space="preserve"> </w:t>
      </w:r>
      <w:r w:rsidR="007A5E81">
        <w:rPr>
          <w:rFonts w:ascii="Times New Roman" w:hAnsi="Times New Roman"/>
          <w:b/>
          <w:lang w:val="uk-UA"/>
        </w:rPr>
        <w:t>ІКС</w:t>
      </w:r>
    </w:p>
    <w:p w14:paraId="2F0115C7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1A547FC2" w14:textId="49C38EBC" w:rsidR="007A5E81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7A5E81">
        <w:rPr>
          <w:rFonts w:ascii="Times New Roman" w:hAnsi="Times New Roman"/>
          <w:lang w:val="uk-UA"/>
        </w:rPr>
        <w:t>Перед дослідженням інформаційно-комп’ютерної системи (ІКС) потрібно визначитись з характеристикою динамічних збурень, що можуть впливати на чутливий елемент (ЧЕ) ІКС.</w:t>
      </w:r>
    </w:p>
    <w:p w14:paraId="57AD36F4" w14:textId="6388343F" w:rsidR="0032687C" w:rsidRDefault="0032687C" w:rsidP="007A5E81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 цей час характер поступальних і кутових вібрацій, що впливають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, встановлений на борту літака, вивчено дуже слабо. Не завжди достатньо чітко забезпечують необхідні умови роботи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. Тому розглянемо параметри вібрацій, що діють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у місці його встановлення на борту літака.</w:t>
      </w:r>
    </w:p>
    <w:p w14:paraId="2FD52240" w14:textId="3C7428C5" w:rsidR="006F0029" w:rsidRDefault="0032687C" w:rsidP="007A5E81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Відомо, що залежно від умов застосування, типу літака, зони розташування обладнання на літаку, типу і місця встановлення двигунів, обладнання літака класифікують за групами виконання  відповідно до вказівок стосовно вибору ступеня жорсткості випробувань  (табл. 4.1</w:t>
      </w:r>
      <w:r w:rsidR="007A5E81">
        <w:rPr>
          <w:rFonts w:ascii="Times New Roman" w:hAnsi="Times New Roman"/>
          <w:lang w:val="uk-UA"/>
        </w:rPr>
        <w:t>).</w:t>
      </w:r>
    </w:p>
    <w:p w14:paraId="53CBC6EF" w14:textId="77777777" w:rsidR="0032687C" w:rsidRDefault="0032687C" w:rsidP="0032687C">
      <w:pPr>
        <w:pStyle w:val="2"/>
        <w:spacing w:line="360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Таблиця 4.1</w:t>
      </w:r>
    </w:p>
    <w:p w14:paraId="4B9B913F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Ступені жорсткості для зон розташування обладнання на літаку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065"/>
        <w:gridCol w:w="1081"/>
        <w:gridCol w:w="1082"/>
        <w:gridCol w:w="1460"/>
        <w:gridCol w:w="1225"/>
        <w:gridCol w:w="930"/>
        <w:gridCol w:w="933"/>
      </w:tblGrid>
      <w:tr w:rsidR="0032687C" w14:paraId="651702D8" w14:textId="77777777" w:rsidTr="00D16887">
        <w:trPr>
          <w:cantSplit/>
          <w:trHeight w:val="189"/>
          <w:jc w:val="center"/>
        </w:trPr>
        <w:tc>
          <w:tcPr>
            <w:tcW w:w="1317" w:type="dxa"/>
            <w:vMerge w:val="restart"/>
            <w:tcBorders>
              <w:right w:val="nil"/>
            </w:tcBorders>
          </w:tcPr>
          <w:p w14:paraId="2A1FF03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</w:t>
            </w:r>
            <w:r>
              <w:rPr>
                <w:rFonts w:ascii="Times New Roman" w:hAnsi="Times New Roman"/>
                <w:lang w:val="uk-UA"/>
              </w:rPr>
              <w:softHyphen/>
              <w:t>рія дозвуко</w:t>
            </w:r>
            <w:r>
              <w:rPr>
                <w:rFonts w:ascii="Times New Roman" w:hAnsi="Times New Roman"/>
                <w:lang w:val="uk-UA"/>
              </w:rPr>
              <w:softHyphen/>
              <w:t>вих літаків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64FF92D" w14:textId="77777777" w:rsidR="0032687C" w:rsidRDefault="0032687C" w:rsidP="00D16887">
            <w:pPr>
              <w:pStyle w:val="1"/>
              <w:rPr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>Зони</w:t>
            </w:r>
          </w:p>
        </w:tc>
      </w:tr>
      <w:tr w:rsidR="0032687C" w14:paraId="00E2595C" w14:textId="77777777" w:rsidTr="00D16887">
        <w:trPr>
          <w:cantSplit/>
          <w:trHeight w:val="257"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3ED50DF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8542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центральні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18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кінцеві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9C049F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поблизу двигунів</w:t>
            </w:r>
          </w:p>
        </w:tc>
      </w:tr>
      <w:tr w:rsidR="0032687C" w14:paraId="33C86D37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068ABC9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nil"/>
              <w:right w:val="nil"/>
            </w:tcBorders>
          </w:tcPr>
          <w:p w14:paraId="1372DA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46BB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119A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4FC28E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663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32B1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</w:t>
            </w:r>
          </w:p>
        </w:tc>
        <w:tc>
          <w:tcPr>
            <w:tcW w:w="933" w:type="dxa"/>
            <w:tcBorders>
              <w:left w:val="nil"/>
            </w:tcBorders>
          </w:tcPr>
          <w:p w14:paraId="23BD649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</w:t>
            </w:r>
          </w:p>
        </w:tc>
      </w:tr>
      <w:tr w:rsidR="0032687C" w14:paraId="5B041EFA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bottom w:val="nil"/>
            </w:tcBorders>
          </w:tcPr>
          <w:p w14:paraId="2B129C9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0E1CE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Дале</w:t>
            </w:r>
            <w:r>
              <w:rPr>
                <w:rFonts w:ascii="Times New Roman" w:hAnsi="Times New Roman"/>
                <w:lang w:val="uk-UA"/>
              </w:rPr>
              <w:softHyphen/>
              <w:t xml:space="preserve">ко від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двигу-нів</w:t>
            </w:r>
            <w:proofErr w:type="spellEnd"/>
            <w:r>
              <w:rPr>
                <w:rFonts w:ascii="Times New Roman" w:hAnsi="Times New Roman"/>
                <w:lang w:val="uk-UA"/>
              </w:rPr>
              <w:t>, 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76BD4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Побли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624828F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0558028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гунів,</w:t>
            </w:r>
          </w:p>
          <w:p w14:paraId="1C654EA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8430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Облад-нання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07811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що амортизується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4CB3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lang w:val="uk-UA"/>
              </w:rPr>
              <w:t>хвосто-вому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відді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75F5729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ленні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3A1B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кін-</w:t>
            </w:r>
            <w:proofErr w:type="spellStart"/>
            <w:r>
              <w:rPr>
                <w:rFonts w:ascii="Times New Roman" w:hAnsi="Times New Roman"/>
                <w:lang w:val="uk-UA"/>
              </w:rPr>
              <w:t>цях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крил,</w:t>
            </w:r>
          </w:p>
          <w:p w14:paraId="2433F44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винос-</w:t>
            </w:r>
          </w:p>
          <w:p w14:paraId="782E86E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них </w:t>
            </w:r>
          </w:p>
          <w:p w14:paraId="2BFA409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штангах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C66E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двигу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375560E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61741AD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безпо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3E37AE6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серед-</w:t>
            </w:r>
          </w:p>
          <w:p w14:paraId="7929C97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ньо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nil"/>
            </w:tcBorders>
          </w:tcPr>
          <w:p w14:paraId="532352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 зоні </w:t>
            </w:r>
          </w:p>
          <w:p w14:paraId="0D1CB6F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вста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21A33BF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нов-лення</w:t>
            </w:r>
            <w:proofErr w:type="spellEnd"/>
          </w:p>
          <w:p w14:paraId="0E40CC6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двигу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66EE321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нів</w:t>
            </w:r>
            <w:proofErr w:type="spellEnd"/>
          </w:p>
        </w:tc>
      </w:tr>
      <w:tr w:rsidR="0032687C" w14:paraId="453F3BC2" w14:textId="77777777" w:rsidTr="00D16887">
        <w:trPr>
          <w:cantSplit/>
          <w:trHeight w:val="2631"/>
          <w:jc w:val="center"/>
        </w:trPr>
        <w:tc>
          <w:tcPr>
            <w:tcW w:w="13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825445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 ТГД</w:t>
            </w:r>
          </w:p>
          <w:p w14:paraId="58BCC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кри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5DD3EE8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лах</w:t>
            </w:r>
            <w:proofErr w:type="spellEnd"/>
          </w:p>
          <w:p w14:paraId="2673AA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  <w:p w14:paraId="3E4DE23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фю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4CEB7F5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зеляжі</w:t>
            </w:r>
            <w:proofErr w:type="spellEnd"/>
          </w:p>
          <w:p w14:paraId="01810B0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06D3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15BA01B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BE093A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18D8D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7E79DF1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7101D3" w14:textId="77777777" w:rsidR="0032687C" w:rsidRDefault="0032687C" w:rsidP="00D16887">
            <w:pPr>
              <w:jc w:val="center"/>
              <w:rPr>
                <w:rFonts w:ascii="Times New Roman" w:hAnsi="Times New Roman"/>
                <w:u w:val="single"/>
                <w:lang w:val="uk-UA"/>
              </w:rPr>
            </w:pPr>
          </w:p>
          <w:p w14:paraId="1E5FCE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5C85A05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24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C44046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69E69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1C1175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17A9133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52D7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2FD33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VI</w:t>
            </w:r>
          </w:p>
          <w:p w14:paraId="42C692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F35C4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51275E4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E582E1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7EC3A6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4C8AA2B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D904F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4683E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II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AA0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3F0EA7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04E70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3104D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0F94B9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78FD45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3D249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5E68A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41E24C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903A8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522160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7B3BA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514DC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6C106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68BDB12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1E4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39ED91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9F6203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23FF0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09E8CA1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29C892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0A465FA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auto"/>
            </w:tcBorders>
          </w:tcPr>
          <w:p w14:paraId="48CF8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5BB1698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02B5F6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AF6CA3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48B80F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26174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856CE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</w:tc>
      </w:tr>
    </w:tbl>
    <w:p w14:paraId="25E46C5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*У чисельнику – вимоги до </w:t>
      </w:r>
      <w:proofErr w:type="spellStart"/>
      <w:r>
        <w:rPr>
          <w:rFonts w:ascii="Times New Roman" w:hAnsi="Times New Roman"/>
          <w:lang w:val="uk-UA"/>
        </w:rPr>
        <w:t>вібростійності</w:t>
      </w:r>
      <w:proofErr w:type="spellEnd"/>
      <w:r>
        <w:rPr>
          <w:rFonts w:ascii="Times New Roman" w:hAnsi="Times New Roman"/>
          <w:lang w:val="uk-UA"/>
        </w:rPr>
        <w:t xml:space="preserve">, а знаменнику – вимоги до </w:t>
      </w:r>
      <w:proofErr w:type="spellStart"/>
      <w:r>
        <w:rPr>
          <w:rFonts w:ascii="Times New Roman" w:hAnsi="Times New Roman"/>
          <w:lang w:val="uk-UA"/>
        </w:rPr>
        <w:t>віброміцності</w:t>
      </w:r>
      <w:proofErr w:type="spellEnd"/>
      <w:r>
        <w:rPr>
          <w:rFonts w:ascii="Times New Roman" w:hAnsi="Times New Roman"/>
          <w:lang w:val="uk-UA"/>
        </w:rPr>
        <w:tab/>
      </w:r>
    </w:p>
    <w:p w14:paraId="471C86BE" w14:textId="0DD2437A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Отже, зазначимо, що з урахуванням динамічних зон літака 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розташовувати в зоні, віддаленій від двигунів або гвинтів, яка відповідає групам виконання ІУ, У, У/ІУ і  містить: для літаків з турбореактивними двигунами (ТРД) та двигунами біля фюзеляжу (рис. 4.1,а) - частини літака, розташовані попереду площини повітрозабірника двигуна, за винятком кінців крил; для літаків з ТРД  та двигунами на крилах (рис. 4.1,б) - фюзеляж за винятком частин, які піддаються дії шуму струменя двигунів і визначених кутів (30</w:t>
      </w:r>
      <w:r>
        <w:rPr>
          <w:rFonts w:ascii="Times New Roman" w:hAnsi="Times New Roman"/>
          <w:vertAlign w:val="superscript"/>
          <w:lang w:val="uk-UA"/>
        </w:rPr>
        <w:t>0</w:t>
      </w:r>
      <w:r>
        <w:rPr>
          <w:rFonts w:ascii="Times New Roman" w:hAnsi="Times New Roman"/>
          <w:lang w:val="uk-UA"/>
        </w:rPr>
        <w:t>) від осі двигунів; для літаків з турбогвинтовими двигунами (ТГД) (рис.4.1,в) - фюзеляж і центроплан за винятком зони гвинтів і частин, що належать до кінцевої зони (позначимо її А).</w:t>
      </w:r>
    </w:p>
    <w:p w14:paraId="2C69F1A7" w14:textId="216FEB7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Розглянемо нормовані параметри вібрації (рис. 4.2). У технічних вимогах до обладнання літака зазначено, що верхня частота нормованого діапазону вібрації для обладнання літака з ТРД становить 2000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 xml:space="preserve">, для обладнання літаків з ТГД і амортизованого обладнання 500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 xml:space="preserve">. Вважаючи, що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розташований на амортизаторах, дослідимо його роботу при верхній частоті віброприскорення 500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>.</w:t>
      </w:r>
    </w:p>
    <w:p w14:paraId="77686A35" w14:textId="77777777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</w:p>
    <w:p w14:paraId="7BBF6B96" w14:textId="287F12C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lastRenderedPageBreak/>
        <w:drawing>
          <wp:inline distT="0" distB="0" distL="0" distR="0" wp14:anchorId="54F0A6C6" wp14:editId="63C8C6CA">
            <wp:extent cx="5940425" cy="5208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4EE7" w14:textId="77777777" w:rsidR="0032687C" w:rsidRDefault="0032687C" w:rsidP="0032687C">
      <w:pPr>
        <w:pStyle w:val="21"/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4.1. Зони розташування розміщення обладнання (див. табл. 4.1)</w:t>
      </w:r>
    </w:p>
    <w:p w14:paraId="09D2E60A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ACFB352" w14:textId="0DC76BAF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Для умов, що відповідають ступеням жорсткості І-УІ, прискорення по поперечній і нормальній осях рівні, по поздовжній осі прискорення становить 70% прискорення по нормальній осі. Відповідно до викладеного вище і рис. 4.2, можна зробити висновок, що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досліджувати при амплітудах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 по поперечній і нормальній осях до 1g , по поздовжній осі 0,7g. Однак, візьмемо до уваги, що оскільки випробувальні польоти здійснюються за на</w:t>
      </w:r>
      <w:r w:rsidR="007A5E81">
        <w:rPr>
          <w:rFonts w:ascii="Times New Roman" w:hAnsi="Times New Roman"/>
          <w:lang w:val="uk-UA"/>
        </w:rPr>
        <w:t>й</w:t>
      </w:r>
      <w:r>
        <w:rPr>
          <w:rFonts w:ascii="Times New Roman" w:hAnsi="Times New Roman"/>
          <w:lang w:val="uk-UA"/>
        </w:rPr>
        <w:t xml:space="preserve">сприятливіших  метеорологічних умов, то рівень амплітуд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 1g  є перевищеним .  </w:t>
      </w:r>
    </w:p>
    <w:p w14:paraId="0D1F38A5" w14:textId="089270FA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noProof/>
        </w:rPr>
        <w:lastRenderedPageBreak/>
        <w:drawing>
          <wp:inline distT="0" distB="0" distL="0" distR="0" wp14:anchorId="2F3ADB30" wp14:editId="304956C4">
            <wp:extent cx="57531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BC21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2659FB9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Рис. 4.2. Нормовані параметри вібрації:</w:t>
      </w:r>
    </w:p>
    <w:p w14:paraId="65154272" w14:textId="1F9F8426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f – частота віброприскорення,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>; w – амплітуда віброприскорення, g; I-VIII ступені жорсткості; А-Ж – зони розта</w:t>
      </w:r>
      <w:r w:rsidR="007A5E81">
        <w:rPr>
          <w:rFonts w:ascii="Times New Roman" w:hAnsi="Times New Roman"/>
          <w:lang w:val="uk-UA"/>
        </w:rPr>
        <w:t>ш</w:t>
      </w:r>
      <w:r>
        <w:rPr>
          <w:rFonts w:ascii="Times New Roman" w:hAnsi="Times New Roman"/>
          <w:lang w:val="uk-UA"/>
        </w:rPr>
        <w:t xml:space="preserve">ування обладнання (див. рис. 4.1); амплітуда </w:t>
      </w:r>
      <w:proofErr w:type="spellStart"/>
      <w:r>
        <w:rPr>
          <w:rFonts w:ascii="Times New Roman" w:hAnsi="Times New Roman"/>
          <w:lang w:val="uk-UA"/>
        </w:rPr>
        <w:t>віброзміщень</w:t>
      </w:r>
      <w:proofErr w:type="spellEnd"/>
      <w:r>
        <w:rPr>
          <w:rFonts w:ascii="Times New Roman" w:hAnsi="Times New Roman"/>
          <w:lang w:val="uk-UA"/>
        </w:rPr>
        <w:t xml:space="preserve"> (штрихова лінія), мм: 1 - 10; 2 – 5; 3 – 2,5; 4 – 1,25; 5 – 0,5; 6 – 0,7; 7 – 0,05</w:t>
      </w:r>
    </w:p>
    <w:p w14:paraId="7BA2EC8C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3459AE99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Дослідження кутових і поступальних вібрацій, які діють на авіаційні прилади у разі прямолінійного горизонтального польоту літака, свідчать про те, що вони відповідають нормальному стаціонарному випадковому процесу з </w:t>
      </w:r>
      <w:proofErr w:type="spellStart"/>
      <w:r>
        <w:rPr>
          <w:rFonts w:ascii="Times New Roman" w:hAnsi="Times New Roman"/>
          <w:lang w:val="uk-UA"/>
        </w:rPr>
        <w:t>вузькосмуговим</w:t>
      </w:r>
      <w:proofErr w:type="spellEnd"/>
      <w:r>
        <w:rPr>
          <w:rFonts w:ascii="Times New Roman" w:hAnsi="Times New Roman"/>
          <w:lang w:val="uk-UA"/>
        </w:rPr>
        <w:t xml:space="preserve"> частотним спектром, нульовим математичним сподіванням і кореляційними функціями виду</w:t>
      </w:r>
    </w:p>
    <w:p w14:paraId="6F8BE13F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   </w:t>
      </w:r>
      <w:r>
        <w:rPr>
          <w:rFonts w:ascii="Times New Roman" w:hAnsi="Times New Roman"/>
          <w:position w:val="-30"/>
          <w:lang w:val="uk-UA"/>
        </w:rPr>
        <w:object w:dxaOrig="3680" w:dyaOrig="680" w14:anchorId="7FF79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35pt;height:41pt" o:ole="">
            <v:imagedata r:id="rId6" o:title=""/>
          </v:shape>
          <o:OLEObject Type="Embed" ProgID="Equation.2" ShapeID="_x0000_i1025" DrawAspect="Content" ObjectID="_1723830051" r:id="rId7"/>
        </w:object>
      </w:r>
      <w:r>
        <w:rPr>
          <w:rFonts w:ascii="Times New Roman" w:hAnsi="Times New Roman"/>
          <w:lang w:val="uk-UA"/>
        </w:rPr>
        <w:t xml:space="preserve"> ,                (4.1)</w:t>
      </w:r>
    </w:p>
    <w:p w14:paraId="644D1A88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i/>
          <w:lang w:val="uk-UA"/>
        </w:rPr>
        <w:t>D</w:t>
      </w:r>
      <w:r>
        <w:rPr>
          <w:rFonts w:ascii="Times New Roman" w:hAnsi="Times New Roman"/>
          <w:lang w:val="uk-UA"/>
        </w:rPr>
        <w:t xml:space="preserve">  - дисперсія; </w:t>
      </w:r>
      <w:r>
        <w:rPr>
          <w:rFonts w:ascii="Times New Roman" w:hAnsi="Times New Roman"/>
          <w:i/>
          <w:lang w:val="uk-UA"/>
        </w:rPr>
        <w:sym w:font="Symbol" w:char="F06D"/>
      </w:r>
      <w:r>
        <w:rPr>
          <w:rFonts w:ascii="Times New Roman" w:hAnsi="Times New Roman"/>
          <w:lang w:val="uk-UA"/>
        </w:rPr>
        <w:t xml:space="preserve"> - коефіцієнт нерегулярності;  </w:t>
      </w:r>
      <w:r>
        <w:rPr>
          <w:rFonts w:ascii="Times New Roman" w:hAnsi="Times New Roman"/>
          <w:i/>
          <w:lang w:val="uk-UA"/>
        </w:rPr>
        <w:sym w:font="Symbol" w:char="F06C"/>
      </w:r>
      <w:r>
        <w:rPr>
          <w:rFonts w:ascii="Times New Roman" w:hAnsi="Times New Roman"/>
          <w:lang w:val="uk-UA"/>
        </w:rPr>
        <w:t xml:space="preserve"> - переважна частота; </w:t>
      </w:r>
      <w:r>
        <w:rPr>
          <w:rFonts w:ascii="Times New Roman" w:hAnsi="Times New Roman"/>
          <w:i/>
          <w:lang w:val="uk-UA"/>
        </w:rPr>
        <w:t>i = x, y, z</w:t>
      </w:r>
      <w:r>
        <w:rPr>
          <w:rFonts w:ascii="Times New Roman" w:hAnsi="Times New Roman"/>
          <w:lang w:val="uk-UA"/>
        </w:rPr>
        <w:t xml:space="preserve"> - для поступальних вібрацій літака; </w:t>
      </w:r>
      <w:r>
        <w:rPr>
          <w:rFonts w:ascii="Times New Roman" w:hAnsi="Times New Roman"/>
          <w:i/>
          <w:lang w:val="uk-UA"/>
        </w:rPr>
        <w:t xml:space="preserve">i =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для кутових вібрацій літака; </w:t>
      </w:r>
      <w:r>
        <w:rPr>
          <w:rFonts w:ascii="Times New Roman" w:hAnsi="Times New Roman"/>
          <w:i/>
          <w:lang w:val="uk-UA"/>
        </w:rPr>
        <w:t>x, y, z</w:t>
      </w:r>
      <w:r>
        <w:rPr>
          <w:rFonts w:ascii="Times New Roman" w:hAnsi="Times New Roman"/>
          <w:lang w:val="uk-UA"/>
        </w:rPr>
        <w:t xml:space="preserve"> - осі системи координат, жорстко зв’язаної з літаком;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 кути качки літака.</w:t>
      </w:r>
    </w:p>
    <w:p w14:paraId="7CFFBBEE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>Зауважимо, що на підставі натурних реєстрацій і подальшої статистичної обробки добуто оцінки імовірнісних характеристик кутового і поступального руху центру ваги літака типу ТУ-104-Б (табл. 4.2).</w:t>
      </w:r>
    </w:p>
    <w:p w14:paraId="79D98235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Математичним моделюванням на ЕОМ рівнянь руху літака і умов його польоту на ЕОМ добуто імовірнісні характеристики кутового руху важкого літака типу ІЛ-18 за умов прямолінійного польоту в суто турбулентній атмосфері. Крім того, знайдено,  що переважні частоти кутових вібрацій літака лежать у діапазоні 0,05 - 0,44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.</w:t>
      </w:r>
    </w:p>
    <w:p w14:paraId="2865290F" w14:textId="77777777" w:rsidR="0032687C" w:rsidRDefault="0032687C" w:rsidP="0032687C">
      <w:pPr>
        <w:pStyle w:val="3"/>
        <w:spacing w:line="36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Таблиця 4.2</w:t>
      </w:r>
    </w:p>
    <w:p w14:paraId="4BE4FD64" w14:textId="77777777" w:rsidR="0032687C" w:rsidRDefault="0032687C" w:rsidP="0032687C">
      <w:pPr>
        <w:spacing w:line="360" w:lineRule="auto"/>
        <w:ind w:left="1985" w:hanging="1985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кутових вібрацій ваги літаків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708"/>
        <w:gridCol w:w="658"/>
        <w:gridCol w:w="656"/>
        <w:gridCol w:w="814"/>
        <w:gridCol w:w="689"/>
        <w:gridCol w:w="682"/>
        <w:gridCol w:w="695"/>
        <w:gridCol w:w="827"/>
        <w:gridCol w:w="637"/>
        <w:gridCol w:w="636"/>
        <w:gridCol w:w="654"/>
      </w:tblGrid>
      <w:tr w:rsidR="0032687C" w14:paraId="069A94A4" w14:textId="77777777" w:rsidTr="00D16887">
        <w:tc>
          <w:tcPr>
            <w:tcW w:w="1384" w:type="dxa"/>
            <w:tcBorders>
              <w:top w:val="single" w:sz="6" w:space="0" w:color="auto"/>
              <w:bottom w:val="nil"/>
              <w:right w:val="nil"/>
            </w:tcBorders>
          </w:tcPr>
          <w:p w14:paraId="2AD9B01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Тип літака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45E0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Никання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40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Тангаж</w:t>
            </w:r>
            <w:proofErr w:type="spellEnd"/>
          </w:p>
        </w:tc>
        <w:tc>
          <w:tcPr>
            <w:tcW w:w="27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4D96A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Крен</w:t>
            </w:r>
          </w:p>
        </w:tc>
      </w:tr>
      <w:tr w:rsidR="0032687C" w14:paraId="77309B62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7344FB9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nil"/>
            </w:tcBorders>
          </w:tcPr>
          <w:p w14:paraId="3875C46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18FC5B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D91B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6677A91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179FA2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lang w:val="uk-UA"/>
              </w:rPr>
              <w:sym w:font="Symbol" w:char="F06A"/>
            </w:r>
          </w:p>
          <w:p w14:paraId="621FDCC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1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20" w:dyaOrig="800" w14:anchorId="579336B9">
                <v:shape id="_x0000_i1026" type="#_x0000_t75" style="width:17.15pt;height:33.8pt" o:ole="">
                  <v:imagedata r:id="rId8" o:title=""/>
                </v:shape>
                <o:OLEObject Type="Embed" ProgID="Equation.2" ShapeID="_x0000_i1026" DrawAspect="Content" ObjectID="_1723830052" r:id="rId9"/>
              </w:objec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1CE79DE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7CA080A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E2F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6F4E10E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20EB7A5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04C0F8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1221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00" w:dyaOrig="760" w14:anchorId="45A74A86">
                <v:shape id="_x0000_i1027" type="#_x0000_t75" style="width:15.5pt;height:32.1pt" o:ole="">
                  <v:imagedata r:id="rId10" o:title=""/>
                </v:shape>
                <o:OLEObject Type="Embed" ProgID="Equation.2" ShapeID="_x0000_i1027" DrawAspect="Content" ObjectID="_1723830053" r:id="rId11"/>
              </w:objec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167F7F0A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343970A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D41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3AE422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2CB1EC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0B2B05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4" w:type="dxa"/>
            <w:tcBorders>
              <w:left w:val="nil"/>
              <w:bottom w:val="nil"/>
            </w:tcBorders>
          </w:tcPr>
          <w:p w14:paraId="122381A0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28"/>
                <w:lang w:val="uk-UA"/>
              </w:rPr>
              <w:object w:dxaOrig="380" w:dyaOrig="680" w14:anchorId="3DE2BF10">
                <v:shape id="_x0000_i1028" type="#_x0000_t75" style="width:14.95pt;height:28.25pt" o:ole="">
                  <v:imagedata r:id="rId12" o:title=""/>
                </v:shape>
                <o:OLEObject Type="Embed" ProgID="Equation.2" ShapeID="_x0000_i1028" DrawAspect="Content" ObjectID="_1723830054" r:id="rId13"/>
              </w:object>
            </w:r>
          </w:p>
        </w:tc>
      </w:tr>
      <w:tr w:rsidR="0032687C" w14:paraId="28708F09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1EC5EA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ТУ-104-В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C7B97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2DC4" w14:textId="77777777" w:rsidR="0032687C" w:rsidRDefault="0032687C" w:rsidP="00D16887">
            <w:pPr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0.02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2B2DD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891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9C627E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08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CC27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0.07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D9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0.86</w:t>
            </w:r>
          </w:p>
        </w:tc>
        <w:tc>
          <w:tcPr>
            <w:tcW w:w="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9A41F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09A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279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0.44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C83A4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</w:t>
            </w:r>
          </w:p>
        </w:tc>
      </w:tr>
      <w:tr w:rsidR="0032687C" w14:paraId="7CE8C561" w14:textId="77777777" w:rsidTr="00D16887">
        <w:tc>
          <w:tcPr>
            <w:tcW w:w="1384" w:type="dxa"/>
            <w:tcBorders>
              <w:top w:val="nil"/>
              <w:right w:val="nil"/>
            </w:tcBorders>
          </w:tcPr>
          <w:p w14:paraId="012C0CA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ІЛ-18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ED7DD1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820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0.65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318960B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E23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0.58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59A5FF0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2EB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14:paraId="234E22C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51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</w:tcPr>
          <w:p w14:paraId="77A0652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F13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0.95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3E002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0.85</w:t>
            </w:r>
          </w:p>
        </w:tc>
        <w:tc>
          <w:tcPr>
            <w:tcW w:w="654" w:type="dxa"/>
            <w:tcBorders>
              <w:top w:val="nil"/>
              <w:left w:val="nil"/>
            </w:tcBorders>
          </w:tcPr>
          <w:p w14:paraId="3885B7CB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1.1</w:t>
            </w:r>
          </w:p>
        </w:tc>
      </w:tr>
    </w:tbl>
    <w:p w14:paraId="08E903E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6E46F9CC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Дослідження імовірнісних характеристик поступальних вібрацій літака типу ЯК-40 показали, що переважні частоти поступальних вібрацій літака лежать у діапазоні 1500-2000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(табл. 4.3).</w:t>
      </w:r>
    </w:p>
    <w:p w14:paraId="33E9FB40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Таблиця 4.3.</w:t>
      </w:r>
    </w:p>
    <w:p w14:paraId="32588EB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поступальних  вібрацій центра ваги літаків типу ЯК-40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992"/>
        <w:gridCol w:w="1992"/>
        <w:gridCol w:w="1992"/>
        <w:gridCol w:w="1992"/>
      </w:tblGrid>
      <w:tr w:rsidR="0032687C" w14:paraId="0DB236A9" w14:textId="77777777" w:rsidTr="00D16887">
        <w:tc>
          <w:tcPr>
            <w:tcW w:w="1992" w:type="dxa"/>
          </w:tcPr>
          <w:p w14:paraId="0A678209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Види кореляційної функції</w:t>
            </w:r>
          </w:p>
        </w:tc>
        <w:tc>
          <w:tcPr>
            <w:tcW w:w="1992" w:type="dxa"/>
          </w:tcPr>
          <w:p w14:paraId="3FF4434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</w:p>
        </w:tc>
        <w:tc>
          <w:tcPr>
            <w:tcW w:w="1992" w:type="dxa"/>
          </w:tcPr>
          <w:p w14:paraId="18C6A50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7B514D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8EE6C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/</w:t>
            </w:r>
            <w:r>
              <w:rPr>
                <w:rFonts w:ascii="Times New Roman" w:hAnsi="Times New Roman"/>
                <w:lang w:val="uk-UA"/>
              </w:rPr>
              <w:sym w:font="Symbol" w:char="F06C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</w:p>
        </w:tc>
      </w:tr>
      <w:tr w:rsidR="0032687C" w14:paraId="762C7DC3" w14:textId="77777777" w:rsidTr="00D16887">
        <w:tc>
          <w:tcPr>
            <w:tcW w:w="1992" w:type="dxa"/>
          </w:tcPr>
          <w:p w14:paraId="08E7B22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</w:t>
            </w:r>
            <w:proofErr w:type="spellEnd"/>
          </w:p>
        </w:tc>
        <w:tc>
          <w:tcPr>
            <w:tcW w:w="1992" w:type="dxa"/>
          </w:tcPr>
          <w:p w14:paraId="3BA999C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992" w:type="dxa"/>
          </w:tcPr>
          <w:p w14:paraId="747DD99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992" w:type="dxa"/>
          </w:tcPr>
          <w:p w14:paraId="1B121FD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1820</w:t>
            </w:r>
          </w:p>
        </w:tc>
        <w:tc>
          <w:tcPr>
            <w:tcW w:w="1992" w:type="dxa"/>
          </w:tcPr>
          <w:p w14:paraId="215C8A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0,055</w:t>
            </w:r>
          </w:p>
        </w:tc>
      </w:tr>
      <w:tr w:rsidR="0032687C" w14:paraId="03D44209" w14:textId="77777777" w:rsidTr="00D16887">
        <w:tc>
          <w:tcPr>
            <w:tcW w:w="1992" w:type="dxa"/>
          </w:tcPr>
          <w:p w14:paraId="23E1974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</w:t>
            </w:r>
            <w:proofErr w:type="spellEnd"/>
          </w:p>
        </w:tc>
        <w:tc>
          <w:tcPr>
            <w:tcW w:w="1992" w:type="dxa"/>
          </w:tcPr>
          <w:p w14:paraId="2074645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0,41</w:t>
            </w:r>
          </w:p>
        </w:tc>
        <w:tc>
          <w:tcPr>
            <w:tcW w:w="1992" w:type="dxa"/>
          </w:tcPr>
          <w:p w14:paraId="2C3B362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76984A8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1695</w:t>
            </w:r>
          </w:p>
        </w:tc>
        <w:tc>
          <w:tcPr>
            <w:tcW w:w="1992" w:type="dxa"/>
          </w:tcPr>
          <w:p w14:paraId="4B6F3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0,118</w:t>
            </w:r>
          </w:p>
        </w:tc>
      </w:tr>
      <w:tr w:rsidR="0032687C" w14:paraId="2290AE6D" w14:textId="77777777" w:rsidTr="00D16887">
        <w:tc>
          <w:tcPr>
            <w:tcW w:w="1992" w:type="dxa"/>
          </w:tcPr>
          <w:p w14:paraId="00F5F7F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z</w:t>
            </w:r>
            <w:proofErr w:type="spellEnd"/>
          </w:p>
        </w:tc>
        <w:tc>
          <w:tcPr>
            <w:tcW w:w="1992" w:type="dxa"/>
          </w:tcPr>
          <w:p w14:paraId="7737588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0,51</w:t>
            </w:r>
          </w:p>
        </w:tc>
        <w:tc>
          <w:tcPr>
            <w:tcW w:w="1992" w:type="dxa"/>
          </w:tcPr>
          <w:p w14:paraId="214C5F6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09F3E8E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1634</w:t>
            </w:r>
          </w:p>
        </w:tc>
        <w:tc>
          <w:tcPr>
            <w:tcW w:w="1992" w:type="dxa"/>
          </w:tcPr>
          <w:p w14:paraId="6D3B9A0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0,122</w:t>
            </w:r>
          </w:p>
        </w:tc>
      </w:tr>
      <w:tr w:rsidR="0032687C" w14:paraId="49B3B63A" w14:textId="77777777" w:rsidTr="00D16887">
        <w:tc>
          <w:tcPr>
            <w:tcW w:w="1992" w:type="dxa"/>
          </w:tcPr>
          <w:p w14:paraId="238041C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xz</w:t>
            </w:r>
            <w:proofErr w:type="spellEnd"/>
          </w:p>
        </w:tc>
        <w:tc>
          <w:tcPr>
            <w:tcW w:w="1992" w:type="dxa"/>
          </w:tcPr>
          <w:p w14:paraId="0A6808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0,08</w:t>
            </w:r>
          </w:p>
        </w:tc>
        <w:tc>
          <w:tcPr>
            <w:tcW w:w="1992" w:type="dxa"/>
          </w:tcPr>
          <w:p w14:paraId="542AFD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1059964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1583</w:t>
            </w:r>
          </w:p>
        </w:tc>
        <w:tc>
          <w:tcPr>
            <w:tcW w:w="1992" w:type="dxa"/>
          </w:tcPr>
          <w:p w14:paraId="57E6BB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0,095</w:t>
            </w:r>
          </w:p>
        </w:tc>
      </w:tr>
      <w:tr w:rsidR="0032687C" w14:paraId="0C660390" w14:textId="77777777" w:rsidTr="00D16887">
        <w:tc>
          <w:tcPr>
            <w:tcW w:w="1992" w:type="dxa"/>
          </w:tcPr>
          <w:p w14:paraId="0E62A6A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yz</w:t>
            </w:r>
            <w:proofErr w:type="spellEnd"/>
          </w:p>
        </w:tc>
        <w:tc>
          <w:tcPr>
            <w:tcW w:w="1992" w:type="dxa"/>
          </w:tcPr>
          <w:p w14:paraId="79A0883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0,13</w:t>
            </w:r>
          </w:p>
        </w:tc>
        <w:tc>
          <w:tcPr>
            <w:tcW w:w="1992" w:type="dxa"/>
          </w:tcPr>
          <w:p w14:paraId="1E95C81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732A2A2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1992" w:type="dxa"/>
          </w:tcPr>
          <w:p w14:paraId="339F96B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0,074</w:t>
            </w:r>
          </w:p>
        </w:tc>
      </w:tr>
    </w:tbl>
    <w:p w14:paraId="40A3624F" w14:textId="23E64B1D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Вказані числові значення імовірнісних характеристик поступальних і кутових вібрацій літака </w:t>
      </w:r>
      <w:r w:rsidR="007A5E81">
        <w:rPr>
          <w:rFonts w:ascii="Times New Roman" w:hAnsi="Times New Roman"/>
          <w:lang w:val="uk-UA"/>
        </w:rPr>
        <w:t>мають бути</w:t>
      </w:r>
      <w:r>
        <w:rPr>
          <w:rFonts w:ascii="Times New Roman" w:hAnsi="Times New Roman"/>
          <w:lang w:val="uk-UA"/>
        </w:rPr>
        <w:t xml:space="preserve"> використан</w:t>
      </w:r>
      <w:r w:rsidR="007A5E81"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lang w:val="uk-UA"/>
        </w:rPr>
        <w:t xml:space="preserve"> для оцінки можливих похибок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7A5E81">
        <w:rPr>
          <w:rFonts w:ascii="Times New Roman" w:hAnsi="Times New Roman"/>
          <w:lang w:val="uk-UA"/>
        </w:rPr>
        <w:t>ІКС</w:t>
      </w:r>
      <w:r>
        <w:rPr>
          <w:rFonts w:ascii="Times New Roman" w:hAnsi="Times New Roman"/>
          <w:lang w:val="uk-UA"/>
        </w:rPr>
        <w:t xml:space="preserve">, під дією різних збурюючих чинників під час </w:t>
      </w:r>
      <w:r w:rsidR="007A5E81">
        <w:rPr>
          <w:rFonts w:ascii="Times New Roman" w:hAnsi="Times New Roman"/>
          <w:lang w:val="uk-UA"/>
        </w:rPr>
        <w:t>роботи</w:t>
      </w:r>
      <w:r>
        <w:rPr>
          <w:rFonts w:ascii="Times New Roman" w:hAnsi="Times New Roman"/>
          <w:lang w:val="uk-UA"/>
        </w:rPr>
        <w:t>.</w:t>
      </w:r>
    </w:p>
    <w:p w14:paraId="56FF56FA" w14:textId="3C867871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Отже,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7A5E81">
        <w:rPr>
          <w:rFonts w:ascii="Times New Roman" w:hAnsi="Times New Roman"/>
          <w:lang w:val="uk-UA"/>
        </w:rPr>
        <w:t>ІКС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треба аналізувати при таких можливих параметрах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>: амплітудах по поперечній і нормальній осях – до g. по поздовжній осі – до 0,7 g і переважних частотах близько 1640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поступальних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; амплітудних кутах никання – до 65’, крену – до 147’, </w:t>
      </w:r>
      <w:proofErr w:type="spellStart"/>
      <w:r>
        <w:rPr>
          <w:rFonts w:ascii="Times New Roman" w:hAnsi="Times New Roman"/>
          <w:lang w:val="uk-UA"/>
        </w:rPr>
        <w:t>тангажу</w:t>
      </w:r>
      <w:proofErr w:type="spellEnd"/>
      <w:r>
        <w:rPr>
          <w:rFonts w:ascii="Times New Roman" w:hAnsi="Times New Roman"/>
          <w:lang w:val="uk-UA"/>
        </w:rPr>
        <w:t xml:space="preserve"> – до 34’ і переважних частотах близько 0,02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кутових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>.</w:t>
      </w:r>
    </w:p>
    <w:sectPr w:rsidR="0032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C"/>
    <w:rsid w:val="0005279F"/>
    <w:rsid w:val="001B3CDA"/>
    <w:rsid w:val="0026213A"/>
    <w:rsid w:val="0032687C"/>
    <w:rsid w:val="004819C8"/>
    <w:rsid w:val="006F0029"/>
    <w:rsid w:val="007823C5"/>
    <w:rsid w:val="007A5E81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D9BB"/>
  <w15:chartTrackingRefBased/>
  <w15:docId w15:val="{FC6A1648-82D9-44D8-8E64-7AEAC57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C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32687C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32687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2687C"/>
    <w:pPr>
      <w:keepNext/>
      <w:jc w:val="center"/>
      <w:outlineLvl w:val="2"/>
    </w:pPr>
    <w:rPr>
      <w:rFonts w:ascii="Kudrashov" w:hAnsi="Kudrashov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7C"/>
    <w:rPr>
      <w:rFonts w:ascii="Kudriashov" w:eastAsia="Times New Roman" w:hAnsi="Kudriashov" w:cs="Times New Roman"/>
      <w:b/>
      <w:kern w:val="28"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32687C"/>
    <w:rPr>
      <w:rFonts w:ascii="Kudriashov" w:eastAsia="Times New Roman" w:hAnsi="Kudriashov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32687C"/>
    <w:rPr>
      <w:rFonts w:ascii="Kudrashov" w:eastAsia="Times New Roman" w:hAnsi="Kudrashov" w:cs="Times New Roman"/>
      <w:b/>
      <w:sz w:val="28"/>
      <w:szCs w:val="20"/>
      <w:lang w:val="hr-HR" w:eastAsia="ru-RU"/>
    </w:rPr>
  </w:style>
  <w:style w:type="paragraph" w:styleId="21">
    <w:name w:val="Body Text 2"/>
    <w:basedOn w:val="a"/>
    <w:link w:val="22"/>
    <w:semiHidden/>
    <w:rsid w:val="0032687C"/>
    <w:pPr>
      <w:spacing w:line="240" w:lineRule="auto"/>
    </w:pPr>
    <w:rPr>
      <w:rFonts w:ascii="Times New Roman" w:hAnsi="Times New Roman"/>
      <w:sz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3268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7823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23C5"/>
    <w:rPr>
      <w:rFonts w:ascii="Kudriashov" w:eastAsia="Times New Roman" w:hAnsi="Kudriashov" w:cs="Times New Roman"/>
      <w:sz w:val="28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2020-09-08T07:08:00Z</dcterms:created>
  <dcterms:modified xsi:type="dcterms:W3CDTF">2022-09-04T17:54:00Z</dcterms:modified>
</cp:coreProperties>
</file>