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0F0C" w14:textId="77777777" w:rsidR="00C57CB5" w:rsidRDefault="00C57CB5" w:rsidP="00C57C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14:paraId="5BD665B0" w14:textId="77777777" w:rsidR="00C57CB5" w:rsidRDefault="00C57CB5" w:rsidP="00C57C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14:paraId="4B080B25" w14:textId="77777777" w:rsidR="00C57CB5" w:rsidRDefault="00C57CB5" w:rsidP="00C57CB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8"/>
        </w:rPr>
      </w:pPr>
    </w:p>
    <w:p w14:paraId="0EA06E19" w14:textId="0D098BAE" w:rsidR="00C57CB5" w:rsidRDefault="00C57CB5" w:rsidP="00C57CB5">
      <w:pPr>
        <w:widowControl w:val="0"/>
        <w:autoSpaceDE w:val="0"/>
        <w:autoSpaceDN w:val="0"/>
        <w:spacing w:after="0" w:line="240" w:lineRule="auto"/>
        <w:ind w:left="1622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45B711B" wp14:editId="2365A221">
            <wp:simplePos x="0" y="0"/>
            <wp:positionH relativeFrom="page">
              <wp:posOffset>865505</wp:posOffset>
            </wp:positionH>
            <wp:positionV relativeFrom="paragraph">
              <wp:posOffset>-66040</wp:posOffset>
            </wp:positionV>
            <wp:extent cx="443230" cy="430530"/>
            <wp:effectExtent l="0" t="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" cy="430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i/>
          <w:sz w:val="28"/>
        </w:rPr>
        <w:t>Тести</w:t>
      </w:r>
      <w:r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для</w:t>
      </w:r>
      <w:r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>самоконтролю</w:t>
      </w:r>
    </w:p>
    <w:p w14:paraId="3BAC7EE3" w14:textId="77777777" w:rsidR="00C57CB5" w:rsidRDefault="00C57CB5" w:rsidP="00C57C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8"/>
        </w:rPr>
      </w:pPr>
    </w:p>
    <w:p w14:paraId="638CA115" w14:textId="77777777" w:rsidR="00C57CB5" w:rsidRDefault="00C57CB5" w:rsidP="00C57CB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359"/>
      </w:tblGrid>
      <w:tr w:rsidR="00C57CB5" w14:paraId="705E971C" w14:textId="77777777" w:rsidTr="00C57CB5">
        <w:trPr>
          <w:trHeight w:val="257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250C7B92" w14:textId="77777777" w:rsidR="00C57CB5" w:rsidRDefault="00C57CB5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1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D5AD1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До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виробничих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фондів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відносять:</w:t>
            </w:r>
          </w:p>
          <w:p w14:paraId="2EC1E868" w14:textId="77777777" w:rsidR="00C57CB5" w:rsidRDefault="00C57CB5">
            <w:pPr>
              <w:spacing w:line="240" w:lineRule="auto"/>
              <w:ind w:left="647" w:right="6584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 автотранспорт;</w:t>
            </w:r>
            <w:r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спецодяг;</w:t>
            </w:r>
          </w:p>
          <w:p w14:paraId="5FFDA796" w14:textId="77777777" w:rsidR="00C57CB5" w:rsidRDefault="00C57CB5">
            <w:pPr>
              <w:spacing w:line="240" w:lineRule="auto"/>
              <w:ind w:left="647" w:right="4804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 паливно-мастильні матеріали;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г)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готову продукцію на</w:t>
            </w:r>
            <w:r>
              <w:rPr>
                <w:rFonts w:ascii="Times New Roman" w:eastAsia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складі;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технологічні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споруди.</w:t>
            </w:r>
          </w:p>
          <w:p w14:paraId="2112FC1D" w14:textId="77777777" w:rsidR="00C57CB5" w:rsidRDefault="00C57CB5">
            <w:pPr>
              <w:tabs>
                <w:tab w:val="left" w:pos="1307"/>
                <w:tab w:val="left" w:pos="2568"/>
              </w:tabs>
              <w:spacing w:line="240" w:lineRule="auto"/>
              <w:ind w:left="10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а,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</w:rPr>
              <w:tab/>
              <w:t>2)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а,в,д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ab/>
              <w:t>3) б,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в,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г</w:t>
            </w:r>
          </w:p>
        </w:tc>
      </w:tr>
      <w:tr w:rsidR="00C57CB5" w14:paraId="29B64DA1" w14:textId="77777777" w:rsidTr="00C57CB5">
        <w:trPr>
          <w:trHeight w:val="3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7D7FE4F" w14:textId="77777777" w:rsidR="00C57CB5" w:rsidRDefault="00C57CB5">
            <w:pPr>
              <w:spacing w:line="296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2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427B1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Амортизація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фондів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-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це:</w:t>
            </w:r>
          </w:p>
          <w:p w14:paraId="35B3890B" w14:textId="77777777" w:rsidR="00C57CB5" w:rsidRDefault="00C57CB5">
            <w:pPr>
              <w:spacing w:line="320" w:lineRule="exact"/>
              <w:ind w:left="64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зношення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засобів;</w:t>
            </w:r>
          </w:p>
          <w:p w14:paraId="439D395F" w14:textId="77777777" w:rsidR="00C57CB5" w:rsidRDefault="00C57CB5">
            <w:pPr>
              <w:tabs>
                <w:tab w:val="left" w:pos="2081"/>
                <w:tab w:val="left" w:pos="3870"/>
                <w:tab w:val="left" w:pos="5155"/>
                <w:tab w:val="left" w:pos="6581"/>
                <w:tab w:val="left" w:pos="7733"/>
                <w:tab w:val="left" w:pos="8306"/>
              </w:tabs>
              <w:spacing w:line="240" w:lineRule="auto"/>
              <w:ind w:left="1051" w:right="98" w:hanging="405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процес</w:t>
            </w:r>
            <w:r>
              <w:rPr>
                <w:rFonts w:ascii="Times New Roman" w:eastAsia="Times New Roman" w:hAnsi="Times New Roman"/>
                <w:sz w:val="28"/>
              </w:rPr>
              <w:tab/>
              <w:t>перенесення</w:t>
            </w:r>
            <w:r>
              <w:rPr>
                <w:rFonts w:ascii="Times New Roman" w:eastAsia="Times New Roman" w:hAnsi="Times New Roman"/>
                <w:sz w:val="28"/>
              </w:rPr>
              <w:tab/>
              <w:t>вартості</w:t>
            </w:r>
            <w:r>
              <w:rPr>
                <w:rFonts w:ascii="Times New Roman" w:eastAsia="Times New Roman" w:hAnsi="Times New Roman"/>
                <w:sz w:val="28"/>
              </w:rPr>
              <w:tab/>
              <w:t>основних</w:t>
            </w:r>
            <w:r>
              <w:rPr>
                <w:rFonts w:ascii="Times New Roman" w:eastAsia="Times New Roman" w:hAnsi="Times New Roman"/>
                <w:sz w:val="28"/>
              </w:rPr>
              <w:tab/>
              <w:t>засобів</w:t>
            </w:r>
            <w:r>
              <w:rPr>
                <w:rFonts w:ascii="Times New Roman" w:eastAsia="Times New Roman" w:hAnsi="Times New Roman"/>
                <w:sz w:val="28"/>
              </w:rPr>
              <w:tab/>
              <w:t>на</w:t>
            </w:r>
            <w:r>
              <w:rPr>
                <w:rFonts w:ascii="Times New Roman" w:eastAsia="Times New Roman" w:hAnsi="Times New Roman"/>
                <w:sz w:val="28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>витрати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виробництва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продукції;</w:t>
            </w:r>
          </w:p>
          <w:p w14:paraId="01AECB34" w14:textId="77777777" w:rsidR="00C57CB5" w:rsidRDefault="00C57CB5">
            <w:pPr>
              <w:spacing w:line="240" w:lineRule="auto"/>
              <w:ind w:left="64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відновлення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засобів.</w:t>
            </w:r>
          </w:p>
        </w:tc>
      </w:tr>
      <w:tr w:rsidR="00C57CB5" w14:paraId="524A52BC" w14:textId="77777777" w:rsidTr="00C57CB5">
        <w:trPr>
          <w:trHeight w:val="155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1CCD4C2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AFAF5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57CB5" w14:paraId="4130CE22" w14:textId="77777777" w:rsidTr="00C57CB5">
        <w:trPr>
          <w:trHeight w:val="31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854C5F3" w14:textId="77777777" w:rsidR="00C57CB5" w:rsidRDefault="00C57CB5">
            <w:pPr>
              <w:spacing w:line="297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3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AB1FA" w14:textId="77777777" w:rsidR="00C57CB5" w:rsidRDefault="00C57CB5">
            <w:pPr>
              <w:spacing w:line="240" w:lineRule="auto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Основні</w:t>
            </w:r>
            <w:r>
              <w:rPr>
                <w:rFonts w:ascii="Times New Roman" w:eastAsia="Times New Roman" w:hAnsi="Times New Roman"/>
                <w:b/>
                <w:spacing w:val="4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засоби</w:t>
            </w:r>
            <w:r>
              <w:rPr>
                <w:rFonts w:ascii="Times New Roman" w:eastAsia="Times New Roman" w:hAnsi="Times New Roman"/>
                <w:b/>
                <w:spacing w:val="4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(фонди)</w:t>
            </w:r>
            <w:r>
              <w:rPr>
                <w:rFonts w:ascii="Times New Roman" w:eastAsia="Times New Roman" w:hAnsi="Times New Roman"/>
                <w:b/>
                <w:spacing w:val="4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при</w:t>
            </w:r>
            <w:r>
              <w:rPr>
                <w:rFonts w:ascii="Times New Roman" w:eastAsia="Times New Roman" w:hAnsi="Times New Roman"/>
                <w:b/>
                <w:spacing w:val="4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зарахуванні</w:t>
            </w:r>
            <w:r>
              <w:rPr>
                <w:rFonts w:ascii="Times New Roman" w:eastAsia="Times New Roman" w:hAnsi="Times New Roman"/>
                <w:b/>
                <w:spacing w:val="4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їх</w:t>
            </w:r>
            <w:r>
              <w:rPr>
                <w:rFonts w:ascii="Times New Roman" w:eastAsia="Times New Roman" w:hAnsi="Times New Roman"/>
                <w:b/>
                <w:spacing w:val="4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на</w:t>
            </w:r>
            <w:r>
              <w:rPr>
                <w:rFonts w:ascii="Times New Roman" w:eastAsia="Times New Roman" w:hAnsi="Times New Roman"/>
                <w:b/>
                <w:spacing w:val="4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баланс</w:t>
            </w:r>
            <w:r>
              <w:rPr>
                <w:rFonts w:ascii="Times New Roman" w:eastAsia="Times New Roman" w:hAnsi="Times New Roman"/>
                <w:b/>
                <w:spacing w:val="4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підприємства</w:t>
            </w:r>
            <w:r>
              <w:rPr>
                <w:rFonts w:ascii="Times New Roman" w:eastAsia="Times New Roman" w:hAnsi="Times New Roman"/>
                <w:b/>
                <w:spacing w:val="4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</w:t>
            </w:r>
            <w:r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результаті</w:t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придбання,</w:t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будівництва</w:t>
            </w:r>
            <w:r>
              <w:rPr>
                <w:rFonts w:ascii="Times New Roman" w:eastAsia="Times New Roman" w:hAnsi="Times New Roman"/>
                <w:b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оцінюються:</w:t>
            </w:r>
          </w:p>
          <w:p w14:paraId="61CA8E39" w14:textId="77777777" w:rsidR="00C57CB5" w:rsidRDefault="00C57CB5">
            <w:pPr>
              <w:spacing w:line="240" w:lineRule="auto"/>
              <w:ind w:left="647" w:right="5022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відновлюваною</w:t>
            </w:r>
            <w:r>
              <w:rPr>
                <w:rFonts w:ascii="Times New Roman" w:eastAsia="Times New Roman" w:hAnsi="Times New Roman"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вартістю;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первісною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вартістю;</w:t>
            </w:r>
          </w:p>
          <w:p w14:paraId="32BF08B5" w14:textId="77777777" w:rsidR="00C57CB5" w:rsidRDefault="00C57CB5">
            <w:pPr>
              <w:spacing w:line="322" w:lineRule="exact"/>
              <w:ind w:left="64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залишковою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вартістю;</w:t>
            </w:r>
          </w:p>
          <w:p w14:paraId="65BDE616" w14:textId="77777777" w:rsidR="00C57CB5" w:rsidRDefault="00C57CB5">
            <w:pPr>
              <w:spacing w:line="240" w:lineRule="auto"/>
              <w:ind w:left="64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г)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</w:t>
            </w:r>
            <w:r>
              <w:rPr>
                <w:rFonts w:ascii="Times New Roman" w:eastAsia="Times New Roman" w:hAnsi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середньорічною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вартістю.</w:t>
            </w:r>
          </w:p>
        </w:tc>
      </w:tr>
      <w:tr w:rsidR="00C57CB5" w14:paraId="62D01DEE" w14:textId="77777777" w:rsidTr="00C57CB5">
        <w:trPr>
          <w:trHeight w:val="1881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860B6A9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C2FBD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57CB5" w14:paraId="624D420A" w14:textId="77777777" w:rsidTr="00C57CB5">
        <w:trPr>
          <w:trHeight w:val="3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191D1C" w14:textId="77777777" w:rsidR="00C57CB5" w:rsidRDefault="00C57CB5">
            <w:pPr>
              <w:spacing w:line="296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4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A4D3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Початкова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(первісна)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фондів</w:t>
            </w:r>
            <w:r>
              <w:rPr>
                <w:rFonts w:ascii="Times New Roman" w:eastAsia="Times New Roman" w:hAns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складається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з:</w:t>
            </w:r>
          </w:p>
          <w:p w14:paraId="0885EA7A" w14:textId="77777777" w:rsidR="00C57CB5" w:rsidRDefault="00C57CB5">
            <w:pPr>
              <w:spacing w:line="320" w:lineRule="exact"/>
              <w:ind w:left="64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ціни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фондів;</w:t>
            </w:r>
          </w:p>
          <w:p w14:paraId="14810A2A" w14:textId="77777777" w:rsidR="00C57CB5" w:rsidRDefault="00C57CB5">
            <w:pPr>
              <w:spacing w:line="240" w:lineRule="auto"/>
              <w:ind w:left="647" w:right="2725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витрат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на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капітальний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ремонт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та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модернізацію;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витрат на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транспортування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і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монтаж;</w:t>
            </w:r>
          </w:p>
          <w:p w14:paraId="356F9772" w14:textId="77777777" w:rsidR="00C57CB5" w:rsidRDefault="00C57CB5">
            <w:pPr>
              <w:spacing w:line="240" w:lineRule="auto"/>
              <w:ind w:left="647" w:right="4920" w:hanging="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г) амортизаційних відрахувань;</w:t>
            </w:r>
            <w:r>
              <w:rPr>
                <w:rFonts w:ascii="Times New Roman" w:eastAsia="Times New Roman" w:hAnsi="Times New Roman"/>
                <w:spacing w:val="-68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витрат на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демонтаж.</w:t>
            </w:r>
          </w:p>
          <w:p w14:paraId="1511AE02" w14:textId="77777777" w:rsidR="00C57CB5" w:rsidRDefault="00C57CB5">
            <w:pPr>
              <w:tabs>
                <w:tab w:val="left" w:pos="1526"/>
                <w:tab w:val="left" w:pos="2912"/>
                <w:tab w:val="left" w:pos="3425"/>
              </w:tabs>
              <w:spacing w:line="321" w:lineRule="exact"/>
              <w:ind w:left="10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б,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в,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</w:rPr>
              <w:tab/>
              <w:t>2) а,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д,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г</w:t>
            </w:r>
            <w:r>
              <w:rPr>
                <w:rFonts w:ascii="Times New Roman" w:eastAsia="Times New Roman" w:hAnsi="Times New Roman"/>
                <w:sz w:val="28"/>
              </w:rPr>
              <w:tab/>
              <w:t>3)</w:t>
            </w:r>
            <w:r>
              <w:rPr>
                <w:rFonts w:ascii="Times New Roman" w:eastAsia="Times New Roman" w:hAnsi="Times New Roman"/>
                <w:sz w:val="28"/>
              </w:rPr>
              <w:tab/>
              <w:t>а, в</w:t>
            </w:r>
          </w:p>
        </w:tc>
      </w:tr>
      <w:tr w:rsidR="00C57CB5" w14:paraId="39FD6AA7" w14:textId="77777777" w:rsidTr="00C57CB5">
        <w:trPr>
          <w:trHeight w:val="2248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8EB6621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9DA6E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57CB5" w14:paraId="36E4DF42" w14:textId="77777777" w:rsidTr="00C57CB5">
        <w:trPr>
          <w:trHeight w:val="31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9F16774" w14:textId="77777777" w:rsidR="00C57CB5" w:rsidRDefault="00C57CB5">
            <w:pPr>
              <w:spacing w:line="298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5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A9E5D" w14:textId="77777777" w:rsidR="00C57CB5" w:rsidRDefault="00C57CB5">
            <w:pPr>
              <w:spacing w:line="321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Залишкова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вартість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фондів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формується</w:t>
            </w:r>
            <w:r>
              <w:rPr>
                <w:rFonts w:ascii="Times New Roman" w:eastAsia="Times New Roman" w:hAns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за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рахунок:</w:t>
            </w:r>
          </w:p>
          <w:p w14:paraId="113A2BBB" w14:textId="77777777" w:rsidR="00C57CB5" w:rsidRDefault="00C57CB5">
            <w:pPr>
              <w:spacing w:line="320" w:lineRule="exact"/>
              <w:ind w:left="69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ціни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фондів;</w:t>
            </w:r>
          </w:p>
          <w:p w14:paraId="7FAC6585" w14:textId="77777777" w:rsidR="00C57CB5" w:rsidRDefault="00C57CB5">
            <w:pPr>
              <w:spacing w:line="240" w:lineRule="auto"/>
              <w:ind w:left="691" w:right="4337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початкової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чи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відновної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вартості;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витрат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на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демонтаж;</w:t>
            </w:r>
          </w:p>
          <w:p w14:paraId="13BF8F30" w14:textId="77777777" w:rsidR="00C57CB5" w:rsidRDefault="00C57CB5">
            <w:pPr>
              <w:spacing w:line="240" w:lineRule="auto"/>
              <w:ind w:left="69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амортизаційних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відрахувань.</w:t>
            </w:r>
          </w:p>
        </w:tc>
      </w:tr>
      <w:tr w:rsidR="00C57CB5" w14:paraId="6268F70A" w14:textId="77777777" w:rsidTr="00C57CB5">
        <w:trPr>
          <w:trHeight w:val="1559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555B102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45EE3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</w:tbl>
    <w:p w14:paraId="6FDA2CE5" w14:textId="77777777" w:rsidR="00C57CB5" w:rsidRDefault="00C57CB5" w:rsidP="00C57CB5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C57CB5">
          <w:pgSz w:w="11910" w:h="16840"/>
          <w:pgMar w:top="1000" w:right="400" w:bottom="960" w:left="880" w:header="716" w:footer="779" w:gutter="0"/>
          <w:cols w:space="720"/>
        </w:sectPr>
      </w:pPr>
    </w:p>
    <w:p w14:paraId="1FF94D79" w14:textId="77777777" w:rsidR="00C57CB5" w:rsidRDefault="00C57CB5" w:rsidP="00C57CB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359"/>
      </w:tblGrid>
      <w:tr w:rsidR="00C57CB5" w14:paraId="140B0A6B" w14:textId="77777777" w:rsidTr="00C57CB5">
        <w:trPr>
          <w:trHeight w:val="188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A1DCD3C" w14:textId="77777777" w:rsidR="00C57CB5" w:rsidRDefault="00C57CB5">
            <w:pPr>
              <w:spacing w:line="318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6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74C11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Фондомісткість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-</w:t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це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відношення:</w:t>
            </w:r>
          </w:p>
          <w:p w14:paraId="440DF6C7" w14:textId="77777777" w:rsidR="00C57CB5" w:rsidRDefault="00C57CB5">
            <w:pPr>
              <w:tabs>
                <w:tab w:val="left" w:pos="2989"/>
                <w:tab w:val="left" w:pos="4229"/>
                <w:tab w:val="left" w:pos="5611"/>
                <w:tab w:val="left" w:pos="6690"/>
                <w:tab w:val="left" w:pos="7229"/>
                <w:tab w:val="left" w:pos="8275"/>
              </w:tabs>
              <w:spacing w:line="240" w:lineRule="auto"/>
              <w:ind w:left="1051" w:right="100" w:hanging="405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середньорічної</w:t>
            </w:r>
            <w:r>
              <w:rPr>
                <w:rFonts w:ascii="Times New Roman" w:eastAsia="Times New Roman" w:hAnsi="Times New Roman"/>
                <w:sz w:val="28"/>
              </w:rPr>
              <w:tab/>
              <w:t>вартості</w:t>
            </w:r>
            <w:r>
              <w:rPr>
                <w:rFonts w:ascii="Times New Roman" w:eastAsia="Times New Roman" w:hAnsi="Times New Roman"/>
                <w:sz w:val="28"/>
              </w:rPr>
              <w:tab/>
              <w:t>основних</w:t>
            </w:r>
            <w:r>
              <w:rPr>
                <w:rFonts w:ascii="Times New Roman" w:eastAsia="Times New Roman" w:hAnsi="Times New Roman"/>
                <w:sz w:val="28"/>
              </w:rPr>
              <w:tab/>
              <w:t>фондів</w:t>
            </w:r>
            <w:r>
              <w:rPr>
                <w:rFonts w:ascii="Times New Roman" w:eastAsia="Times New Roman" w:hAnsi="Times New Roman"/>
                <w:sz w:val="28"/>
              </w:rPr>
              <w:tab/>
              <w:t>до</w:t>
            </w:r>
            <w:r>
              <w:rPr>
                <w:rFonts w:ascii="Times New Roman" w:eastAsia="Times New Roman" w:hAnsi="Times New Roman"/>
                <w:sz w:val="28"/>
              </w:rPr>
              <w:tab/>
              <w:t>обсягу</w:t>
            </w:r>
            <w:r>
              <w:rPr>
                <w:rFonts w:ascii="Times New Roman" w:eastAsia="Times New Roman" w:hAnsi="Times New Roman"/>
                <w:sz w:val="28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>випуску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продукції;</w:t>
            </w:r>
          </w:p>
          <w:p w14:paraId="66C0F886" w14:textId="77777777" w:rsidR="00C57CB5" w:rsidRDefault="00C57CB5">
            <w:pPr>
              <w:spacing w:line="240" w:lineRule="auto"/>
              <w:ind w:left="647" w:right="1073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 обсягу випуску продукції до середньорічної вартості фондів;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річної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суми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прибутку до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середньорічної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фондів.</w:t>
            </w:r>
          </w:p>
        </w:tc>
      </w:tr>
      <w:tr w:rsidR="00C57CB5" w14:paraId="7582C343" w14:textId="77777777" w:rsidTr="00C57CB5">
        <w:trPr>
          <w:trHeight w:val="315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69B6744" w14:textId="77777777" w:rsidR="00C57CB5" w:rsidRDefault="00C57CB5">
            <w:pPr>
              <w:spacing w:line="296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7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55E9E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Фондовіддача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-</w:t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це</w:t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відношення:</w:t>
            </w:r>
          </w:p>
          <w:p w14:paraId="1E9B8EBE" w14:textId="77777777" w:rsidR="00C57CB5" w:rsidRDefault="00C57CB5">
            <w:pPr>
              <w:tabs>
                <w:tab w:val="left" w:pos="3026"/>
                <w:tab w:val="left" w:pos="4258"/>
                <w:tab w:val="left" w:pos="5633"/>
                <w:tab w:val="left" w:pos="6704"/>
                <w:tab w:val="left" w:pos="7236"/>
                <w:tab w:val="left" w:pos="8275"/>
              </w:tabs>
              <w:spacing w:line="240" w:lineRule="auto"/>
              <w:ind w:left="1051" w:right="100" w:hanging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середньорічної</w:t>
            </w:r>
            <w:r>
              <w:rPr>
                <w:rFonts w:ascii="Times New Roman" w:eastAsia="Times New Roman" w:hAnsi="Times New Roman"/>
                <w:sz w:val="28"/>
              </w:rPr>
              <w:tab/>
              <w:t>вартості</w:t>
            </w:r>
            <w:r>
              <w:rPr>
                <w:rFonts w:ascii="Times New Roman" w:eastAsia="Times New Roman" w:hAnsi="Times New Roman"/>
                <w:sz w:val="28"/>
              </w:rPr>
              <w:tab/>
              <w:t>основних</w:t>
            </w:r>
            <w:r>
              <w:rPr>
                <w:rFonts w:ascii="Times New Roman" w:eastAsia="Times New Roman" w:hAnsi="Times New Roman"/>
                <w:sz w:val="28"/>
              </w:rPr>
              <w:tab/>
              <w:t>фондів</w:t>
            </w:r>
            <w:r>
              <w:rPr>
                <w:rFonts w:ascii="Times New Roman" w:eastAsia="Times New Roman" w:hAnsi="Times New Roman"/>
                <w:sz w:val="28"/>
              </w:rPr>
              <w:tab/>
              <w:t>до</w:t>
            </w:r>
            <w:r>
              <w:rPr>
                <w:rFonts w:ascii="Times New Roman" w:eastAsia="Times New Roman" w:hAnsi="Times New Roman"/>
                <w:sz w:val="28"/>
              </w:rPr>
              <w:tab/>
              <w:t>обсягу</w:t>
            </w:r>
            <w:r>
              <w:rPr>
                <w:rFonts w:ascii="Times New Roman" w:eastAsia="Times New Roman" w:hAnsi="Times New Roman"/>
                <w:sz w:val="28"/>
              </w:rPr>
              <w:tab/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>випуску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продукції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у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вартісному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або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натуральному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вираженні;</w:t>
            </w:r>
          </w:p>
          <w:p w14:paraId="50BFE378" w14:textId="77777777" w:rsidR="00C57CB5" w:rsidRDefault="00C57CB5">
            <w:pPr>
              <w:spacing w:line="240" w:lineRule="auto"/>
              <w:ind w:left="1051" w:hanging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відношення</w:t>
            </w:r>
            <w:r>
              <w:rPr>
                <w:rFonts w:ascii="Times New Roman" w:eastAsia="Times New Roman" w:hAnsi="Times New Roman"/>
                <w:spacing w:val="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обсягу</w:t>
            </w:r>
            <w:r>
              <w:rPr>
                <w:rFonts w:ascii="Times New Roman" w:eastAsia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випуску</w:t>
            </w:r>
            <w:r>
              <w:rPr>
                <w:rFonts w:ascii="Times New Roman" w:eastAsia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продукції</w:t>
            </w:r>
            <w:r>
              <w:rPr>
                <w:rFonts w:ascii="Times New Roman" w:eastAsia="Times New Roman" w:hAnsi="Times New Roman"/>
                <w:spacing w:val="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до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середньорічної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виробничих фондів;</w:t>
            </w:r>
          </w:p>
          <w:p w14:paraId="6C864144" w14:textId="77777777" w:rsidR="00C57CB5" w:rsidRDefault="00C57CB5">
            <w:pPr>
              <w:spacing w:line="321" w:lineRule="exact"/>
              <w:ind w:left="69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річної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суми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прибутку до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середньорічної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фондів.</w:t>
            </w:r>
          </w:p>
        </w:tc>
      </w:tr>
      <w:tr w:rsidR="00C57CB5" w14:paraId="02C54E1B" w14:textId="77777777" w:rsidTr="00C57CB5">
        <w:trPr>
          <w:trHeight w:val="192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3489E165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8A381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57CB5" w14:paraId="1C3BF46C" w14:textId="77777777" w:rsidTr="00C57CB5">
        <w:trPr>
          <w:trHeight w:val="3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65204CC" w14:textId="77777777" w:rsidR="00C57CB5" w:rsidRDefault="00C57CB5">
            <w:pPr>
              <w:spacing w:line="297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8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EFFA5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Норма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амортизації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-</w:t>
            </w:r>
            <w:r>
              <w:rPr>
                <w:rFonts w:ascii="Times New Roman" w:eastAsia="Times New Roman" w:hAnsi="Times New Roman"/>
                <w:b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це:</w:t>
            </w:r>
          </w:p>
          <w:p w14:paraId="4FF23F3F" w14:textId="77777777" w:rsidR="00C57CB5" w:rsidRDefault="00C57CB5">
            <w:pPr>
              <w:spacing w:line="240" w:lineRule="auto"/>
              <w:ind w:left="1051" w:right="92" w:hanging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поступове</w:t>
            </w:r>
            <w:r>
              <w:rPr>
                <w:rFonts w:ascii="Times New Roman" w:eastAsia="Times New Roman" w:hAnsi="Times New Roman"/>
                <w:spacing w:val="3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погашення</w:t>
            </w:r>
            <w:r>
              <w:rPr>
                <w:rFonts w:ascii="Times New Roman" w:eastAsia="Times New Roman" w:hAnsi="Times New Roman"/>
                <w:spacing w:val="3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</w:t>
            </w:r>
            <w:r>
              <w:rPr>
                <w:rFonts w:ascii="Times New Roman" w:eastAsia="Times New Roman" w:hAnsi="Times New Roman"/>
                <w:spacing w:val="3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3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</w:t>
            </w:r>
            <w:r>
              <w:rPr>
                <w:rFonts w:ascii="Times New Roman" w:eastAsia="Times New Roman" w:hAnsi="Times New Roman"/>
                <w:spacing w:val="3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перенесенням</w:t>
            </w:r>
            <w:r>
              <w:rPr>
                <w:rFonts w:ascii="Times New Roman" w:eastAsia="Times New Roman" w:hAnsi="Times New Roman"/>
                <w:spacing w:val="3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її</w:t>
            </w:r>
            <w:r>
              <w:rPr>
                <w:rFonts w:ascii="Times New Roman" w:eastAsia="Times New Roman" w:hAnsi="Times New Roman"/>
                <w:spacing w:val="3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на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собівартість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виготовленої продукції;</w:t>
            </w:r>
          </w:p>
          <w:p w14:paraId="1B7139B8" w14:textId="77777777" w:rsidR="00C57CB5" w:rsidRDefault="00C57CB5">
            <w:pPr>
              <w:spacing w:line="322" w:lineRule="exact"/>
              <w:ind w:left="69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процент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відрахувань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фондів;</w:t>
            </w:r>
          </w:p>
          <w:p w14:paraId="61BFF58C" w14:textId="77777777" w:rsidR="00C57CB5" w:rsidRDefault="00C57CB5">
            <w:pPr>
              <w:spacing w:line="322" w:lineRule="exact"/>
              <w:ind w:left="1051" w:hanging="36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втрата</w:t>
            </w:r>
            <w:r>
              <w:rPr>
                <w:rFonts w:ascii="Times New Roman" w:eastAsia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частини</w:t>
            </w:r>
            <w:r>
              <w:rPr>
                <w:rFonts w:ascii="Times New Roman" w:eastAsia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вартості</w:t>
            </w:r>
            <w:r>
              <w:rPr>
                <w:rFonts w:ascii="Times New Roman" w:eastAsia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фондів</w:t>
            </w:r>
            <w:r>
              <w:rPr>
                <w:rFonts w:ascii="Times New Roman" w:eastAsia="Times New Roman" w:hAnsi="Times New Roman"/>
                <w:spacing w:val="2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під</w:t>
            </w:r>
            <w:r>
              <w:rPr>
                <w:rFonts w:ascii="Times New Roman" w:eastAsia="Times New Roman" w:hAnsi="Times New Roman"/>
                <w:spacing w:val="24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впливом</w:t>
            </w:r>
            <w:r>
              <w:rPr>
                <w:rFonts w:ascii="Times New Roman" w:eastAsia="Times New Roman" w:hAnsi="Times New Roman"/>
                <w:spacing w:val="2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науково-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технічного прогресу.</w:t>
            </w:r>
          </w:p>
        </w:tc>
      </w:tr>
      <w:tr w:rsidR="00C57CB5" w14:paraId="710DB33A" w14:textId="77777777" w:rsidTr="00C57CB5">
        <w:trPr>
          <w:trHeight w:val="1604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31C90AD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71497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57CB5" w14:paraId="2C4A8B50" w14:textId="77777777" w:rsidTr="00C57CB5">
        <w:trPr>
          <w:trHeight w:val="317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5A1B820" w14:textId="77777777" w:rsidR="00C57CB5" w:rsidRDefault="00C57CB5">
            <w:pPr>
              <w:spacing w:line="297" w:lineRule="exact"/>
              <w:ind w:left="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9"/>
                <w:sz w:val="28"/>
              </w:rPr>
              <w:t>9</w:t>
            </w:r>
          </w:p>
        </w:tc>
        <w:tc>
          <w:tcPr>
            <w:tcW w:w="9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16770" w14:textId="77777777" w:rsidR="00C57CB5" w:rsidRDefault="00C57CB5">
            <w:pPr>
              <w:tabs>
                <w:tab w:val="left" w:pos="1770"/>
                <w:tab w:val="left" w:pos="3181"/>
                <w:tab w:val="left" w:pos="4279"/>
                <w:tab w:val="left" w:pos="4793"/>
                <w:tab w:val="left" w:pos="5243"/>
                <w:tab w:val="left" w:pos="6496"/>
                <w:tab w:val="left" w:pos="7999"/>
              </w:tabs>
              <w:spacing w:line="240" w:lineRule="auto"/>
              <w:ind w:left="107" w:right="98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Знецінення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  <w:t>основних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  <w:t>фондів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  <w:t>до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  <w:t>їх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  <w:t>повного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  <w:t>фізичного</w:t>
            </w:r>
            <w:r>
              <w:rPr>
                <w:rFonts w:ascii="Times New Roman" w:eastAsia="Times New Roman" w:hAnsi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/>
                <w:b/>
                <w:spacing w:val="-1"/>
                <w:sz w:val="28"/>
              </w:rPr>
              <w:t>зношення</w:t>
            </w:r>
            <w:r>
              <w:rPr>
                <w:rFonts w:ascii="Times New Roman" w:eastAsia="Times New Roman" w:hAns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називається зношенням:</w:t>
            </w:r>
          </w:p>
          <w:p w14:paraId="5489F5EC" w14:textId="77777777" w:rsidR="00C57CB5" w:rsidRDefault="00C57CB5">
            <w:pPr>
              <w:spacing w:line="240" w:lineRule="auto"/>
              <w:ind w:left="647" w:right="6986" w:hanging="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 фізичним;</w:t>
            </w:r>
            <w:r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моральним;</w:t>
            </w:r>
          </w:p>
          <w:p w14:paraId="4BAC4E74" w14:textId="77777777" w:rsidR="00C57CB5" w:rsidRDefault="00C57CB5">
            <w:pPr>
              <w:spacing w:line="240" w:lineRule="auto"/>
              <w:ind w:left="647" w:right="6689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</w:t>
            </w:r>
            <w:r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матеріальним;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г)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загальним.</w:t>
            </w:r>
          </w:p>
        </w:tc>
      </w:tr>
      <w:tr w:rsidR="00C57CB5" w14:paraId="66074B74" w14:textId="77777777" w:rsidTr="00C57CB5">
        <w:trPr>
          <w:trHeight w:val="1927"/>
        </w:trPr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2CF475E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9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1A9AE" w14:textId="77777777" w:rsidR="00C57CB5" w:rsidRDefault="00C57CB5">
            <w:pPr>
              <w:spacing w:line="240" w:lineRule="auto"/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C57CB5" w14:paraId="42D38DEC" w14:textId="77777777" w:rsidTr="00C57CB5">
        <w:trPr>
          <w:trHeight w:val="316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E699C7" w14:textId="77777777" w:rsidR="00C57CB5" w:rsidRDefault="00C57CB5">
            <w:pPr>
              <w:spacing w:line="297" w:lineRule="exact"/>
              <w:ind w:left="87" w:right="78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10</w:t>
            </w:r>
          </w:p>
        </w:tc>
        <w:tc>
          <w:tcPr>
            <w:tcW w:w="9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62BB3" w14:textId="77777777" w:rsidR="00C57CB5" w:rsidRDefault="00C57CB5">
            <w:pPr>
              <w:spacing w:line="320" w:lineRule="exact"/>
              <w:ind w:left="107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Натуральний</w:t>
            </w:r>
            <w:r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облік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засобів</w:t>
            </w:r>
            <w:r>
              <w:rPr>
                <w:rFonts w:ascii="Times New Roman" w:eastAsia="Times New Roman" w:hAnsi="Times New Roman"/>
                <w:b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</w:rPr>
              <w:t>передбачає:</w:t>
            </w:r>
          </w:p>
          <w:p w14:paraId="26E76C03" w14:textId="77777777" w:rsidR="00C57CB5" w:rsidRDefault="00C57CB5">
            <w:pPr>
              <w:spacing w:line="320" w:lineRule="exact"/>
              <w:ind w:left="51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складання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єдиного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переліку</w:t>
            </w:r>
            <w:r>
              <w:rPr>
                <w:rFonts w:ascii="Times New Roman" w:eastAsia="Times New Roman" w:hAnsi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засобів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підприємства;</w:t>
            </w:r>
          </w:p>
          <w:p w14:paraId="17277DD8" w14:textId="77777777" w:rsidR="00C57CB5" w:rsidRDefault="00C57CB5">
            <w:pPr>
              <w:spacing w:line="240" w:lineRule="auto"/>
              <w:ind w:left="51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б)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інвентаризацію</w:t>
            </w:r>
            <w:r>
              <w:rPr>
                <w:rFonts w:ascii="Times New Roman" w:eastAsia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основних</w:t>
            </w:r>
            <w:r>
              <w:rPr>
                <w:rFonts w:ascii="Times New Roman" w:eastAsia="Times New Roman" w:hAnsi="Times New Roman"/>
                <w:spacing w:val="38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засобів</w:t>
            </w:r>
            <w:r>
              <w:rPr>
                <w:rFonts w:ascii="Times New Roman" w:eastAsia="Times New Roman" w:hAnsi="Times New Roman"/>
                <w:spacing w:val="38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</w:t>
            </w:r>
            <w:r>
              <w:rPr>
                <w:rFonts w:ascii="Times New Roman" w:eastAsia="Times New Roman" w:hAnsi="Times New Roman"/>
                <w:spacing w:val="39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підрозділах</w:t>
            </w:r>
            <w:r>
              <w:rPr>
                <w:rFonts w:ascii="Times New Roman" w:eastAsia="Times New Roman" w:hAnsi="Times New Roman"/>
                <w:spacing w:val="39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та</w:t>
            </w:r>
            <w:r>
              <w:rPr>
                <w:rFonts w:ascii="Times New Roman" w:eastAsia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на</w:t>
            </w:r>
            <w:r>
              <w:rPr>
                <w:rFonts w:ascii="Times New Roman" w:eastAsia="Times New Roman" w:hAnsi="Times New Roman"/>
                <w:spacing w:val="3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підприємстві</w:t>
            </w:r>
            <w:r>
              <w:rPr>
                <w:rFonts w:ascii="Times New Roman" w:eastAsia="Times New Roman" w:hAnsi="Times New Roman"/>
                <w:spacing w:val="39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цілому;</w:t>
            </w:r>
          </w:p>
          <w:p w14:paraId="61137745" w14:textId="77777777" w:rsidR="00C57CB5" w:rsidRDefault="00C57CB5">
            <w:pPr>
              <w:spacing w:line="240" w:lineRule="auto"/>
              <w:ind w:left="511" w:right="111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в) введення матеріальної відповідальності за псування основних засобів.</w:t>
            </w:r>
            <w:r>
              <w:rPr>
                <w:rFonts w:ascii="Times New Roman" w:eastAsia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г)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усі</w:t>
            </w:r>
            <w:r>
              <w:rPr>
                <w:rFonts w:ascii="Times New Roman" w:eastAsia="Times New Roman" w:hAnsi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>відповіді правильні.</w:t>
            </w:r>
          </w:p>
        </w:tc>
      </w:tr>
    </w:tbl>
    <w:p w14:paraId="48F87A3D" w14:textId="77777777" w:rsidR="00C57CB5" w:rsidRDefault="00C57CB5" w:rsidP="00C57CB5">
      <w:pPr>
        <w:rPr>
          <w:lang w:val="ru-RU"/>
        </w:rPr>
      </w:pPr>
    </w:p>
    <w:p w14:paraId="1625D889" w14:textId="77777777" w:rsidR="001425E2" w:rsidRPr="00C57CB5" w:rsidRDefault="001425E2">
      <w:pPr>
        <w:rPr>
          <w:lang w:val="ru-RU"/>
        </w:rPr>
      </w:pPr>
    </w:p>
    <w:sectPr w:rsidR="001425E2" w:rsidRPr="00C5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B5"/>
    <w:rsid w:val="001425E2"/>
    <w:rsid w:val="00461910"/>
    <w:rsid w:val="00C5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33D4"/>
  <w15:chartTrackingRefBased/>
  <w15:docId w15:val="{E85E7D32-FE92-4F6E-B76D-CE6967DA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CB5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C57C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7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2021-10-04T13:19:00Z</dcterms:created>
  <dcterms:modified xsi:type="dcterms:W3CDTF">2021-10-04T13:22:00Z</dcterms:modified>
</cp:coreProperties>
</file>