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DBA7" w14:textId="2DB57E51" w:rsidR="00020209" w:rsidRDefault="00A475FC" w:rsidP="00A475FC">
      <w:pPr>
        <w:autoSpaceDE w:val="0"/>
        <w:autoSpaceDN w:val="0"/>
        <w:adjustRightInd w:val="0"/>
        <w:ind w:firstLine="708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Тема 5</w:t>
      </w:r>
      <w:r w:rsidR="00020209" w:rsidRPr="00020209">
        <w:rPr>
          <w:rFonts w:cs="Times New Roman"/>
          <w:b/>
          <w:bCs/>
          <w:sz w:val="28"/>
          <w:szCs w:val="28"/>
        </w:rPr>
        <w:t>. ПРИНЦИПИ КОНВЕНЦІЇ МДП</w:t>
      </w:r>
    </w:p>
    <w:p w14:paraId="3CE0380F" w14:textId="77777777" w:rsidR="00020209" w:rsidRPr="00020209" w:rsidRDefault="00020209" w:rsidP="00020209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797898A7" w14:textId="4AADF58E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Для забезпечення безперешкодного переміщення вантажів з мінімальними затримками й у той же час для забезпечення максимальної митної безпеки, в</w:t>
      </w:r>
    </w:p>
    <w:p w14:paraId="22853DD3" w14:textId="77777777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основу Конвенції МДП покладені п’ять основних принципів:</w:t>
      </w:r>
    </w:p>
    <w:p w14:paraId="0B67A25E" w14:textId="62CE4D82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426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1) вантажі повинні перевозитися в безпечних (з погляду митниці) транспортних засобах або контейнерах;</w:t>
      </w:r>
    </w:p>
    <w:p w14:paraId="21CCB502" w14:textId="77777777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426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2) сплата мит і податків, у відношенні яких існує ризик несплати, повинна</w:t>
      </w:r>
    </w:p>
    <w:p w14:paraId="4548E4CB" w14:textId="77777777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426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бути забезпечена міжнародною гарантією;</w:t>
      </w:r>
    </w:p>
    <w:p w14:paraId="6365926C" w14:textId="56884BB9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426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3) вантажі повинні супроводжуватися визнаним всіма державами – учасницями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Конвенції єдиним митним документом (книжкою МДП), прийнятим до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оформлення в державі відправлення й службовим документом контролю в державах відправлення, транзиту й призначення;</w:t>
      </w:r>
    </w:p>
    <w:p w14:paraId="3C6CAFB1" w14:textId="04C35F3E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426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4) заходи митного контролю, прийняті в державі відправлення, повинні визнаватися всіма країнами транзиту й призначення;</w:t>
      </w:r>
    </w:p>
    <w:p w14:paraId="066BF0E4" w14:textId="195555EC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426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5) доступ до процедури МДП для національних об’єднань (дозвіл на видачукнижок МДП) і фізичних і юридичних осіб (дозвіл на використання книжок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МДП) повинен контролюватися уповноваженими національними органами.</w:t>
      </w:r>
    </w:p>
    <w:p w14:paraId="3E9E3E76" w14:textId="255C2B59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426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 xml:space="preserve">Для практичної реалізації </w:t>
      </w:r>
      <w:r w:rsidRPr="00020209">
        <w:rPr>
          <w:rFonts w:cs="Times New Roman"/>
          <w:b/>
          <w:bCs/>
          <w:sz w:val="28"/>
          <w:szCs w:val="28"/>
        </w:rPr>
        <w:t xml:space="preserve">першого принципу </w:t>
      </w:r>
      <w:r w:rsidRPr="00020209">
        <w:rPr>
          <w:rFonts w:cs="Times New Roman"/>
          <w:sz w:val="28"/>
          <w:szCs w:val="28"/>
        </w:rPr>
        <w:t>й забезпечення митної безпеки перевезень Конвенція МДП встановлює, що вантажі повинні перевозитися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в контейнерах або вантажних відділеннях транспортних засобів, сконструйованих таким чином, щоб виключити можливість доступу до вмісту запломбованої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частини транспортного засобу або контейнера без залишення видимих слідів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розкриття вантажного відділення транспортного засобу, контейнера або ушкодження митних печаток і пломб.</w:t>
      </w:r>
    </w:p>
    <w:p w14:paraId="18DFCFA6" w14:textId="16165446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426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 xml:space="preserve">З метою дотримання цієї вимоги Конвенція встановлює стандарти конструкцій і процедури допущення. Вантажі можуть перевозитися з використанням процедури МДП тільки у випадку, якщо вантажне відділення транспортного засобу або контейнер пройшли процедуру допущення відповідно до положень Конвенції. Якщо контейнер або вантажне відділення транспортного засобу відповідають всім вимогам, то національне відомство видає так зване </w:t>
      </w:r>
      <w:r w:rsidRPr="00020209">
        <w:rPr>
          <w:rFonts w:cs="Times New Roman"/>
          <w:b/>
          <w:bCs/>
          <w:sz w:val="28"/>
          <w:szCs w:val="28"/>
        </w:rPr>
        <w:lastRenderedPageBreak/>
        <w:t xml:space="preserve">свідоцтво про допущення </w:t>
      </w:r>
      <w:r w:rsidRPr="00020209">
        <w:rPr>
          <w:rFonts w:cs="Times New Roman"/>
          <w:sz w:val="28"/>
          <w:szCs w:val="28"/>
        </w:rPr>
        <w:t xml:space="preserve">дорожнього транспортного засобу або контейнера </w:t>
      </w:r>
      <w:r w:rsidRPr="00020209">
        <w:rPr>
          <w:rFonts w:cs="Times New Roman"/>
          <w:b/>
          <w:bCs/>
          <w:sz w:val="28"/>
          <w:szCs w:val="28"/>
        </w:rPr>
        <w:t xml:space="preserve">(додаток </w:t>
      </w:r>
      <w:r w:rsidR="00B3261D">
        <w:rPr>
          <w:rFonts w:cs="Times New Roman"/>
          <w:b/>
          <w:bCs/>
          <w:sz w:val="28"/>
          <w:szCs w:val="28"/>
        </w:rPr>
        <w:t>А</w:t>
      </w:r>
      <w:r w:rsidRPr="00020209">
        <w:rPr>
          <w:rFonts w:cs="Times New Roman"/>
          <w:b/>
          <w:bCs/>
          <w:sz w:val="28"/>
          <w:szCs w:val="28"/>
        </w:rPr>
        <w:t xml:space="preserve">, додаток </w:t>
      </w:r>
      <w:r w:rsidR="00B3261D">
        <w:rPr>
          <w:rFonts w:cs="Times New Roman"/>
          <w:b/>
          <w:bCs/>
          <w:sz w:val="28"/>
          <w:szCs w:val="28"/>
        </w:rPr>
        <w:t>Б</w:t>
      </w:r>
      <w:r w:rsidRPr="00020209">
        <w:rPr>
          <w:rFonts w:cs="Times New Roman"/>
          <w:sz w:val="28"/>
          <w:szCs w:val="28"/>
        </w:rPr>
        <w:t>). У принципі, таке допущення визнається всіма Договірними</w:t>
      </w:r>
      <w:r w:rsidR="00A475FC"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сторонами Конвенції МДП.</w:t>
      </w:r>
    </w:p>
    <w:p w14:paraId="7A533BB6" w14:textId="43EBC676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426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Якщо вповноважене національне відомство має сумніви в тому, чи відповідає яка-небудь нова конструкція, запропонована виробниками, технічним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приписам Конвенції МДП, воно може через відповідні державні органи звернутися за роз’ясненнями у Виконавчу раду МДП, секретаріат МДП, в Адміністративний комітет МДП або Робочу групу ЄЕК ООН по митних питаннях,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пов’язаним із транспортом. Робоча група ЄЕК ООН або Адміністративний комітет можуть виразити своє рішення у вигляді коментарю або, якщо мова йде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про широко розповсюджену нову конструкцію, що ще не знайшла відображення в Конвенції МДП, - підготувати пропозиції по виправленнях.</w:t>
      </w:r>
    </w:p>
    <w:p w14:paraId="600FB6A9" w14:textId="2B0D4CD8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b/>
          <w:bCs/>
          <w:sz w:val="28"/>
          <w:szCs w:val="28"/>
        </w:rPr>
        <w:t xml:space="preserve">Другим принципом </w:t>
      </w:r>
      <w:r w:rsidRPr="00020209">
        <w:rPr>
          <w:rFonts w:cs="Times New Roman"/>
          <w:sz w:val="28"/>
          <w:szCs w:val="28"/>
        </w:rPr>
        <w:t>Конвенції МДП є міжнародна система гарантій. Вона побудована таким чином, що в будь-який момент мита й податки, у відношенні яких існує ризик несплати у ході транзитних операцій, покриваються гарантією національного об’єднання на випадок, якщо перевізник не може бути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притягнутий до відповідальності. Принцип дії міжнародної системи гарантій</w:t>
      </w:r>
    </w:p>
    <w:p w14:paraId="6260AF31" w14:textId="4C02DFA4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досить простий. Кожне національне об’єднання, що представляє інтереси транспортної галузі в державі-учасниці Конвенції МДП і визнане митними органами цієї держави, гарантує сплату всіх мит і податків, які можуть підлягати</w:t>
      </w:r>
    </w:p>
    <w:p w14:paraId="322DC970" w14:textId="77777777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сплаті у випадку виявлення якого-небудь порушення операції МДП на території</w:t>
      </w:r>
    </w:p>
    <w:p w14:paraId="3709250A" w14:textId="77777777" w:rsid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 xml:space="preserve">цієї країни. </w:t>
      </w:r>
    </w:p>
    <w:p w14:paraId="2FBF023E" w14:textId="4C153294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Таким чином, національне об’єднання гарантує сплату таких мит і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податків як національними, так і іноземними перевізниками, що здійснюють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транспортні операції із застосуванням книжок МДП. У результаті кожна держава забезпечена гарантією при проведенні на його території транспортних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операцій МДП, тобто завжди існує національний партнер, до якого митні органи можуть звертатися у випадку виявлення яких-небудь порушень незалежно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від того, чи зроблене це порушення національним або іноземним перевізником.</w:t>
      </w:r>
    </w:p>
    <w:p w14:paraId="751B31AE" w14:textId="59FC1865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lastRenderedPageBreak/>
        <w:t>У той же час умови надання такої гарантії регламентуються національним законодавством, і вони звичайно включаються в угоду між національними мит-ними органами й об’єднанням.</w:t>
      </w:r>
    </w:p>
    <w:p w14:paraId="05DB5899" w14:textId="298948C7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b/>
          <w:bCs/>
          <w:sz w:val="28"/>
          <w:szCs w:val="28"/>
        </w:rPr>
      </w:pPr>
      <w:r w:rsidRPr="00020209">
        <w:rPr>
          <w:rFonts w:cs="Times New Roman"/>
          <w:sz w:val="28"/>
          <w:szCs w:val="28"/>
        </w:rPr>
        <w:t xml:space="preserve">Всі міжнародні гарантійні об’єднання становлять своєрідну єдину </w:t>
      </w:r>
      <w:r w:rsidRPr="00020209">
        <w:rPr>
          <w:rFonts w:cs="Times New Roman"/>
          <w:b/>
          <w:bCs/>
          <w:sz w:val="28"/>
          <w:szCs w:val="28"/>
        </w:rPr>
        <w:t>Гарантійну мережу</w:t>
      </w:r>
      <w:r w:rsidRPr="00020209">
        <w:rPr>
          <w:rFonts w:cs="Times New Roman"/>
          <w:sz w:val="28"/>
          <w:szCs w:val="28"/>
        </w:rPr>
        <w:t xml:space="preserve">, що охоплює всі держави – учасниці Конвенції МДП. На теперішній день Гарантійна мережа управляється </w:t>
      </w:r>
      <w:r w:rsidRPr="00020209">
        <w:rPr>
          <w:rFonts w:cs="Times New Roman"/>
          <w:b/>
          <w:bCs/>
          <w:sz w:val="28"/>
          <w:szCs w:val="28"/>
        </w:rPr>
        <w:t xml:space="preserve">Міжнародним союзом автомобільного транспорту (МСАТ) </w:t>
      </w:r>
      <w:r w:rsidRPr="00020209">
        <w:rPr>
          <w:rFonts w:cs="Times New Roman"/>
          <w:sz w:val="28"/>
          <w:szCs w:val="28"/>
        </w:rPr>
        <w:t xml:space="preserve">у Женеві (Швейцарія), який є неурядовою організацією, що представляє інтереси автомобільних перевізників в усьому світі. Гарантійна мережа спирається на кілька великих міжнародних страхових компаній. Контроль за роботою Гарантійної мережі здійснює </w:t>
      </w:r>
      <w:r w:rsidRPr="00020209">
        <w:rPr>
          <w:rFonts w:cs="Times New Roman"/>
          <w:b/>
          <w:bCs/>
          <w:sz w:val="28"/>
          <w:szCs w:val="28"/>
        </w:rPr>
        <w:t>Виконавча рада МДП</w:t>
      </w:r>
      <w:r w:rsidRPr="00020209">
        <w:rPr>
          <w:rFonts w:cs="Times New Roman"/>
          <w:sz w:val="28"/>
          <w:szCs w:val="28"/>
        </w:rPr>
        <w:t>.</w:t>
      </w:r>
    </w:p>
    <w:p w14:paraId="043B4727" w14:textId="198DD265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У випадку якого-небудь порушення митні органи, перш ніж звернутися до гарантійного об’єднання, повинні в міру можливості вимагати сплати компенсацій з осіб, що несуть пряму відповідальність за виявлене порушення. Якщо виникне необхідність у застосуванні гарантії (наприклад, внаслідок неплатоспроможності зазначених осіб), митні органи держави, на території якої відбулося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порушення, пред’являють позов своєму гарантійному об’єднанню, для того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щоб урегулювати питання в рамках національного законодавства. Однак потім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національне гарантійне об’єднання може через міжнародну Гарантійну мережу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вимагати відшкодування своїх видатків.</w:t>
      </w:r>
    </w:p>
    <w:p w14:paraId="10C7331F" w14:textId="0F538897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Кожна країна самостійно визначає межу гарантії, однак рекомендовано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обмежувати максимальну суму, що може бути витребувана від національного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об’єднання, в розмірі 50 тис. доларів США на одну книжку МДП (для книжки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МДП «Тютюнові вироби/Алкогольні напої» – 200 тис. доларів США).</w:t>
      </w:r>
    </w:p>
    <w:p w14:paraId="4500EB6D" w14:textId="77777777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b/>
          <w:bCs/>
          <w:sz w:val="28"/>
          <w:szCs w:val="28"/>
        </w:rPr>
        <w:t xml:space="preserve">Третій принцип </w:t>
      </w:r>
      <w:r w:rsidRPr="00020209">
        <w:rPr>
          <w:rFonts w:cs="Times New Roman"/>
          <w:sz w:val="28"/>
          <w:szCs w:val="28"/>
        </w:rPr>
        <w:t xml:space="preserve">полягає у впровадженні </w:t>
      </w:r>
      <w:r w:rsidRPr="00020209">
        <w:rPr>
          <w:rFonts w:cs="Times New Roman"/>
          <w:b/>
          <w:bCs/>
          <w:sz w:val="28"/>
          <w:szCs w:val="28"/>
        </w:rPr>
        <w:t xml:space="preserve">книжки МДП </w:t>
      </w:r>
      <w:r w:rsidRPr="00020209">
        <w:rPr>
          <w:rFonts w:cs="Times New Roman"/>
          <w:sz w:val="28"/>
          <w:szCs w:val="28"/>
        </w:rPr>
        <w:t>– міжнародного</w:t>
      </w:r>
    </w:p>
    <w:p w14:paraId="7A9E4835" w14:textId="62C94A83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митного документу, який підтверджує те, що по відношенню до товарів, які перевозяться по процедурі МДП, існує міжнародна гарантія.</w:t>
      </w:r>
    </w:p>
    <w:p w14:paraId="45A73CB1" w14:textId="77777777" w:rsid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На сьогоднішній день МСАТ – єдина міжнародна організація, що отримала під контролем Виконавчої ради МДП право на централізоване виготовлення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й поширення книжок МДП серед національних гарантійних об’єднань відповідно до договірних зобов’язань, затвердженими Адміністративним комітетом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МДП.</w:t>
      </w:r>
    </w:p>
    <w:p w14:paraId="54E1B350" w14:textId="4A6CCF93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lastRenderedPageBreak/>
        <w:t xml:space="preserve"> У свою чергу, кожне національне гарантійне об’єднання видає книжки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МДП перевізникам своєї держави на умовах, визначених у декларації, як зобов’язання перевізника.</w:t>
      </w:r>
    </w:p>
    <w:p w14:paraId="71A8EE29" w14:textId="77777777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Перша сторінка обкладинки, а також відривні аркуші й корінці, згруповані</w:t>
      </w:r>
    </w:p>
    <w:p w14:paraId="4179421F" w14:textId="3797B497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по двох, є найбільш важливою частиною книжки МДП для митного контролю й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дії Гарантійної мережі. Комплект із двох відривних аркушів і двох корінців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використовується в кожній державі, на території якої здійснюється операція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МДП. Пред’явлення належним чином заповненої перевізником іменної книжки</w:t>
      </w:r>
    </w:p>
    <w:p w14:paraId="7A9185BB" w14:textId="43664A1C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МДП, що містить підпис й відбиток печатки міжнародної організації і її гарантійного об’єднання, яке видало книжку, вже само по собі є доказом існування й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дійсності гарантії. Книжка МДП дійсна до завершення перевезення МДП у митниці призначення за умови, що операція була розпочата в митниці відправлення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в строки, встановлені гарантійним об’єднанням, що видало цю книжку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МДП.</w:t>
      </w:r>
    </w:p>
    <w:p w14:paraId="370918F1" w14:textId="3818598F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b/>
          <w:bCs/>
          <w:sz w:val="28"/>
          <w:szCs w:val="28"/>
        </w:rPr>
        <w:t xml:space="preserve">Четвертим принципом </w:t>
      </w:r>
      <w:r w:rsidRPr="00020209">
        <w:rPr>
          <w:rFonts w:cs="Times New Roman"/>
          <w:sz w:val="28"/>
          <w:szCs w:val="28"/>
        </w:rPr>
        <w:t>системи МДП є принцип визнання державами транзиту заходів митного контролю, прийнятих в державі відправлення. При дотриманні цієї умови вантажі, що перевозяться в опломбованих вантажних відділеннях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транспортних засобів або контейнерах, як правило, звільняються від митного огляду на шляху їх проходження. Це є найважливішою перевагою для перевізників, що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використовують процедуру МДП. Однак, сказане вище не виключає можливість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вибіркового огляду, якщо у митних органів є підстави припускати порушення.</w:t>
      </w:r>
    </w:p>
    <w:p w14:paraId="730EB1EF" w14:textId="77777777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Цей принцип, досить привабливий для перевізників, припускає, що митні</w:t>
      </w:r>
    </w:p>
    <w:p w14:paraId="62546724" w14:textId="59631A1C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органи держав транзиту й держави призначення довіряють якості митного контролю держави відправлення. Отже, для успішного функціонування всієї системи МДП якість митного контролю в державі відправлення має вирішальне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значення. Оскільки здійснення всього перевезення МДП залежить від якості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митного контролю в державі відправлення, дуже важливо, щоб він був повним і</w:t>
      </w:r>
    </w:p>
    <w:p w14:paraId="04A041EF" w14:textId="0F6603DD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здійснювався з дотриманням всіх необхідних формальностей. Крім того, митний орган держави відправлення, перед тим, як накласти митні печатки й пломби, повинен перевірити стан вантажного відділення дорожнього транспортного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lastRenderedPageBreak/>
        <w:t>засобу або контейнера, а у випадку використання критих брезентом транспортних засобів (контейнерів) – стан брезенту і його кріплень, тому що відомості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про це не вносяться у свідоцтво про допущення.</w:t>
      </w:r>
    </w:p>
    <w:p w14:paraId="130E23ED" w14:textId="77777777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b/>
          <w:bCs/>
          <w:sz w:val="28"/>
          <w:szCs w:val="28"/>
        </w:rPr>
        <w:t xml:space="preserve">П’ятий принцип – </w:t>
      </w:r>
      <w:r w:rsidRPr="00020209">
        <w:rPr>
          <w:rFonts w:cs="Times New Roman"/>
          <w:sz w:val="28"/>
          <w:szCs w:val="28"/>
        </w:rPr>
        <w:t>контрольований доступ до системи МДП. У додатку 9</w:t>
      </w:r>
    </w:p>
    <w:p w14:paraId="117F18C7" w14:textId="353D1295" w:rsidR="00020209" w:rsidRP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b/>
          <w:bCs/>
          <w:sz w:val="28"/>
          <w:szCs w:val="28"/>
        </w:rPr>
      </w:pPr>
      <w:r w:rsidRPr="00020209">
        <w:rPr>
          <w:rFonts w:cs="Times New Roman"/>
          <w:sz w:val="28"/>
          <w:szCs w:val="28"/>
        </w:rPr>
        <w:t xml:space="preserve">до Конвенції наведені </w:t>
      </w:r>
      <w:r w:rsidRPr="00020209">
        <w:rPr>
          <w:rFonts w:cs="Times New Roman"/>
          <w:b/>
          <w:bCs/>
          <w:sz w:val="28"/>
          <w:szCs w:val="28"/>
        </w:rPr>
        <w:t xml:space="preserve">мінімальні умови й вимоги, яких повинні дотримуватися національні об’єднання </w:t>
      </w:r>
      <w:r w:rsidRPr="00020209">
        <w:rPr>
          <w:rFonts w:cs="Times New Roman"/>
          <w:sz w:val="28"/>
          <w:szCs w:val="28"/>
        </w:rPr>
        <w:t>для одержання дозволу (у вигляді письмового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договору або відповідного урядового документа) від національних митних органів на видачу книжок МДП. На додаток до вимог міжнародної організації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(МСАТ) Конвенція передбачає, що національні об’єднання можуть отримати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такий дозвіл тільки у випадку, якщо вони існують не менш одного року, мають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стійке фінансове становище й кваліфікований персонал і не робили раніше серйозних або кількаразових порушень митного або податкового законодавства.</w:t>
      </w:r>
    </w:p>
    <w:p w14:paraId="12E071C9" w14:textId="191769A2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Крім того, ці об’єднання повинні укласти письмовий договір з компетентними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органами країни перебування й представити докази того, що їхня можлива відповідальність перед митними органами застрахована.</w:t>
      </w:r>
    </w:p>
    <w:p w14:paraId="30E25AD8" w14:textId="2E62448A" w:rsidR="00020209" w:rsidRPr="00020209" w:rsidRDefault="00020209" w:rsidP="00020209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Згідно із додатком 9 до Конвенції митні органи повинні контролювати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доступ до системи МДП всіх перевізників. Цей контроль відбувається через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 xml:space="preserve">встановлення </w:t>
      </w:r>
      <w:r w:rsidRPr="00020209">
        <w:rPr>
          <w:rFonts w:cs="Times New Roman"/>
          <w:b/>
          <w:bCs/>
          <w:sz w:val="28"/>
          <w:szCs w:val="28"/>
        </w:rPr>
        <w:t>для перевізників мінімальних умов й вимог</w:t>
      </w:r>
      <w:r w:rsidRPr="00020209">
        <w:rPr>
          <w:rFonts w:cs="Times New Roman"/>
          <w:sz w:val="28"/>
          <w:szCs w:val="28"/>
        </w:rPr>
        <w:t>, яким вони повинні</w:t>
      </w:r>
    </w:p>
    <w:p w14:paraId="6C109B2F" w14:textId="77777777" w:rsid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відповідати, щоб отримати від митних органів доступ до системи МДП – дозвіл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 xml:space="preserve">на здійснення перевезень з використанням книжок МДП. </w:t>
      </w:r>
    </w:p>
    <w:p w14:paraId="01F80E64" w14:textId="5091405D" w:rsidR="00020209" w:rsidRPr="00020209" w:rsidRDefault="00020209" w:rsidP="00A475FC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Мінімальні умови й</w:t>
      </w:r>
      <w:r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вимоги, передбачені Конвенцією, містять у собі стійке фінансове становище, відсутність серйозних або кількаразових порушень митного або податкового законодавства й подання перевізником національному</w:t>
      </w:r>
      <w:r w:rsidR="00A475FC"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об’єднанню, що видає книжки</w:t>
      </w:r>
      <w:r w:rsidR="00A475FC"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МДП, письмової декларації із зобов’язаннями, які він бере на себе.</w:t>
      </w:r>
    </w:p>
    <w:p w14:paraId="79BB328C" w14:textId="60DFFE1F" w:rsidR="00020209" w:rsidRPr="00020209" w:rsidRDefault="00020209" w:rsidP="00A475FC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Дані про всіх перевізників, які були допущені національними</w:t>
      </w:r>
      <w:r w:rsidR="00A475FC"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об’єднаннями до використання книжок МДП, централізовано зберігаються в</w:t>
      </w:r>
      <w:r w:rsidR="00A475FC"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міжнародному банку даних (МБД), що підтримується Виконавчою радою МДП</w:t>
      </w:r>
    </w:p>
    <w:p w14:paraId="2CBA8E2E" w14:textId="6561154E" w:rsidR="00020209" w:rsidRDefault="00020209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lastRenderedPageBreak/>
        <w:t>у Женеві з використанням системи унікальних ідентифікаційних номерів. МБД</w:t>
      </w:r>
      <w:r w:rsidR="00A475FC">
        <w:rPr>
          <w:rFonts w:cs="Times New Roman"/>
          <w:sz w:val="28"/>
          <w:szCs w:val="28"/>
        </w:rPr>
        <w:t xml:space="preserve"> </w:t>
      </w:r>
      <w:r w:rsidRPr="00020209">
        <w:rPr>
          <w:rFonts w:cs="Times New Roman"/>
          <w:sz w:val="28"/>
          <w:szCs w:val="28"/>
        </w:rPr>
        <w:t>також відслідковує будь-які відкликання допуску до процедури МДП або виключення перевізників з цієї процедури відповідно до статті 38 Конвенції.</w:t>
      </w:r>
    </w:p>
    <w:p w14:paraId="587B3B5C" w14:textId="0AA11317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3F17827D" w14:textId="77777777" w:rsidR="00A475FC" w:rsidRPr="00020209" w:rsidRDefault="00A475FC" w:rsidP="00A475FC">
      <w:pPr>
        <w:autoSpaceDE w:val="0"/>
        <w:autoSpaceDN w:val="0"/>
        <w:adjustRightInd w:val="0"/>
        <w:spacing w:line="360" w:lineRule="auto"/>
        <w:ind w:firstLine="708"/>
        <w:rPr>
          <w:rFonts w:cs="Times New Roman"/>
          <w:b/>
          <w:bCs/>
          <w:sz w:val="28"/>
          <w:szCs w:val="28"/>
        </w:rPr>
      </w:pPr>
      <w:r w:rsidRPr="00020209">
        <w:rPr>
          <w:rFonts w:cs="Times New Roman"/>
          <w:b/>
          <w:bCs/>
          <w:sz w:val="28"/>
          <w:szCs w:val="28"/>
        </w:rPr>
        <w:t>Контрольні запитання</w:t>
      </w:r>
    </w:p>
    <w:p w14:paraId="03F5C80F" w14:textId="77777777" w:rsidR="00A475FC" w:rsidRPr="00020209" w:rsidRDefault="00A475FC" w:rsidP="00A475FC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1. Назвіть п’ять принципів, покладених в основу Конвенції МДП.</w:t>
      </w:r>
    </w:p>
    <w:p w14:paraId="0708A857" w14:textId="77777777" w:rsidR="00A475FC" w:rsidRPr="00020209" w:rsidRDefault="00A475FC" w:rsidP="00A475FC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2. Якою повинна бути конструкція контейнерів або вантажних відділень</w:t>
      </w:r>
    </w:p>
    <w:p w14:paraId="722ED09E" w14:textId="77777777" w:rsidR="00A475FC" w:rsidRPr="00020209" w:rsidRDefault="00A475FC" w:rsidP="00A475FC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транспортних засобів для забезпечення митної безпеки перевезень?</w:t>
      </w:r>
    </w:p>
    <w:p w14:paraId="09063463" w14:textId="77777777" w:rsidR="00A475FC" w:rsidRPr="00020209" w:rsidRDefault="00A475FC" w:rsidP="00A475FC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3. У чому полягає принцип дії міжнародної системи гарантій?</w:t>
      </w:r>
    </w:p>
    <w:p w14:paraId="4E147E86" w14:textId="77777777" w:rsidR="00A475FC" w:rsidRPr="00020209" w:rsidRDefault="00A475FC" w:rsidP="00A475FC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4. Що являє собою книжка МДП?</w:t>
      </w:r>
    </w:p>
    <w:p w14:paraId="0346BC3E" w14:textId="77777777" w:rsidR="00A475FC" w:rsidRPr="00020209" w:rsidRDefault="00A475FC" w:rsidP="00A475FC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5. У чому полягає принцип міжнародного визнання заходів митного</w:t>
      </w:r>
    </w:p>
    <w:p w14:paraId="4BB036AB" w14:textId="77777777" w:rsidR="00A475FC" w:rsidRPr="00020209" w:rsidRDefault="00A475FC" w:rsidP="00A475FC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контролю?</w:t>
      </w:r>
    </w:p>
    <w:p w14:paraId="422E150A" w14:textId="77777777" w:rsidR="00A475FC" w:rsidRPr="00020209" w:rsidRDefault="00A475FC" w:rsidP="00A475FC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6. Яким чином здійснюється контрольований доступ перевізників до</w:t>
      </w:r>
    </w:p>
    <w:p w14:paraId="7CEA0615" w14:textId="77777777" w:rsidR="00A475FC" w:rsidRPr="00020209" w:rsidRDefault="00A475FC" w:rsidP="00A475FC">
      <w:pPr>
        <w:spacing w:line="360" w:lineRule="auto"/>
        <w:rPr>
          <w:rFonts w:cs="Times New Roman"/>
          <w:sz w:val="28"/>
          <w:szCs w:val="28"/>
        </w:rPr>
      </w:pPr>
      <w:r w:rsidRPr="00020209">
        <w:rPr>
          <w:rFonts w:cs="Times New Roman"/>
          <w:sz w:val="28"/>
          <w:szCs w:val="28"/>
        </w:rPr>
        <w:t>системи МДП?</w:t>
      </w:r>
    </w:p>
    <w:p w14:paraId="60660496" w14:textId="44CAE747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37176124" w14:textId="77777777" w:rsidR="00A475FC" w:rsidRPr="00020209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26804747" w14:textId="28C0853D" w:rsidR="00A475FC" w:rsidRDefault="00A475FC" w:rsidP="00A475F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540510" wp14:editId="78532507">
            <wp:extent cx="4916314" cy="6163616"/>
            <wp:effectExtent l="0" t="0" r="0" b="889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E021BE33-6ECF-2724-7814-567C3A8147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E021BE33-6ECF-2724-7814-567C3A8147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6314" cy="616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44D33" w14:textId="200661F5" w:rsidR="00A475FC" w:rsidRDefault="00A475FC" w:rsidP="00A475F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FE8B8CA" wp14:editId="07603A7F">
            <wp:extent cx="5197929" cy="6286500"/>
            <wp:effectExtent l="0" t="0" r="3175" b="0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D9605985-D1DF-B827-10DC-5A11847DF5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D9605985-D1DF-B827-10DC-5A11847DF5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9501" cy="628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A94ED" w14:textId="14746832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2AF270BE" w14:textId="31DBE39E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5BB7FFE2" w14:textId="3CE078FD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0A8E4D5E" w14:textId="103ABF41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38C7EB9E" w14:textId="68A6DF6B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64D5EF99" w14:textId="7E55B7B7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3975E057" w14:textId="7A2C42FE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0F12FEDD" w14:textId="66C83009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28E7BB9D" w14:textId="5D15308D" w:rsidR="00A475FC" w:rsidRDefault="00A475FC" w:rsidP="00020209">
      <w:pPr>
        <w:autoSpaceDE w:val="0"/>
        <w:autoSpaceDN w:val="0"/>
        <w:adjustRightInd w:val="0"/>
        <w:spacing w:line="360" w:lineRule="auto"/>
        <w:rPr>
          <w:rFonts w:cs="Times New Roman"/>
          <w:sz w:val="28"/>
          <w:szCs w:val="28"/>
        </w:rPr>
      </w:pPr>
    </w:p>
    <w:p w14:paraId="1E25AB9A" w14:textId="56C88347" w:rsidR="00414332" w:rsidRPr="00020209" w:rsidRDefault="00414332" w:rsidP="00020209">
      <w:pPr>
        <w:spacing w:line="360" w:lineRule="auto"/>
        <w:rPr>
          <w:rFonts w:cs="Times New Roman"/>
          <w:sz w:val="28"/>
          <w:szCs w:val="28"/>
        </w:rPr>
      </w:pPr>
    </w:p>
    <w:sectPr w:rsidR="00414332" w:rsidRPr="00020209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09"/>
    <w:rsid w:val="00020209"/>
    <w:rsid w:val="00051972"/>
    <w:rsid w:val="00084178"/>
    <w:rsid w:val="00414332"/>
    <w:rsid w:val="00A475FC"/>
    <w:rsid w:val="00B3261D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5D3E"/>
  <w15:chartTrackingRefBased/>
  <w15:docId w15:val="{01DF706A-804B-47BE-99A2-3F29374E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rPr>
      <w:sz w:val="28"/>
      <w:lang w:val="ru-RU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6786</Words>
  <Characters>3869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2022-10-04T07:15:00Z</dcterms:created>
  <dcterms:modified xsi:type="dcterms:W3CDTF">2022-10-05T18:02:00Z</dcterms:modified>
</cp:coreProperties>
</file>