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bookmarkStart w:id="0" w:name="_GoBack"/>
      <w:r w:rsidRPr="007B539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uk-UA"/>
        </w:rPr>
        <w:t>Т</w:t>
      </w:r>
      <w:r w:rsidRPr="007B539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ЕМА </w:t>
      </w:r>
      <w:r w:rsidR="00CC0A6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uk-UA"/>
        </w:rPr>
        <w:t>4</w:t>
      </w:r>
      <w:r w:rsidRPr="007B539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. </w:t>
      </w:r>
      <w:hyperlink r:id="rId5" w:tooltip="КЛАСИФІКАЦІЯ ТА ТИПІЗАЦІЯ ГОТЕЛІВ Й ІНШИХ ЗАСОБІВ РОЗМІЩЕННЯ ГОТЕЛЬНОГО ТИПУ" w:history="1">
        <w:r w:rsidRPr="007B539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КЛАСИФІКАЦІЯ ТА ТИПІЗАЦІЯ ГОТЕЛІВ Й ІНШИХ ЗАСОБІВ РОЗМІЩЕННЯ ГОТЕЛЬНОГО ТИПУ</w:t>
        </w:r>
      </w:hyperlink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Мета заняття: </w:t>
      </w: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Розуміти сутність класифікації готелів. Знати критерії класифікації. Вміти розрізняти міжнародні системи класифікації готелів. Знати готельні піктограми, вимоги до готелів відповідно до зірковості. </w:t>
      </w:r>
      <w:r w:rsidRPr="007B539B">
        <w:rPr>
          <w:rFonts w:ascii="Times New Roman" w:eastAsia="Times New Roman" w:hAnsi="Times New Roman" w:cs="Times New Roman"/>
          <w:color w:val="000000"/>
          <w:sz w:val="24"/>
          <w:szCs w:val="24"/>
        </w:rPr>
        <w:t>Володіти методикою оцінки відповідності готелів та інших засобів розміщення категоріям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План роботи</w:t>
      </w:r>
    </w:p>
    <w:p w:rsidR="007B539B" w:rsidRPr="007B539B" w:rsidRDefault="007B539B" w:rsidP="007B539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Вимоги до готелів та інших засобів розміщення різних категорій.</w:t>
      </w:r>
    </w:p>
    <w:p w:rsidR="007B539B" w:rsidRPr="007B539B" w:rsidRDefault="007B539B" w:rsidP="007B539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Критерії бальної оцінки готелів та інших засобів розміщення різних категорій</w:t>
      </w:r>
    </w:p>
    <w:p w:rsidR="007B539B" w:rsidRPr="007B539B" w:rsidRDefault="007B539B" w:rsidP="007B539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Методика оцінка номерів готелів та інших засобів розміщення на відповідність категоріям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Хід роботи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Вивчення цієї теми слід почати із засвоєння того, що в основу типізації підприємств готельного господарства покладено його функціональне призначення, а вирішальними факторами для типізації підприємств є: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—    місцезнаходження;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—    контингент;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—    мета подорожі;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—    місткість;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—    строк перебування;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—    режим експлуатації;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—    соціальна орієнтація.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При цьому слід дослідити зміст кожного вищенаведеного фактора.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Важливим аспектом у вивченні теми с питання щодо закордонного досвіду типізації підприємств готельного господарства з можливістю його гармонізації до вітчизняних засобів розміщення. Слід приділити увагу засвоєнню понять: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—    послуга;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—    сфера послуг;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—    рівень комфорту';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—    місткість номерного фонду;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—    гостинність;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—    процес обслуговування;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—    функціональне призначення підприємства;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-     тривалість діяльності;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-     тривалість перебування гостей;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-     рівень цін.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Під час вивчення теми слід приділити увагу ознайомленню із положеннями основних законодавчих та нормативних актів, на яких базується типізація підприємств готельного господарства України.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Слід усвідомити, шо на формування типів готельних підприємств значною мірою впливає, мета подорожі. Далі слід розглянути основні вимоги до організації підприємств готельного господарства </w:t>
      </w:r>
      <w:hyperlink r:id="rId6" w:tooltip="Словник термінів: Транзит" w:history="1">
        <w:r w:rsidRPr="007B539B">
          <w:rPr>
            <w:rFonts w:ascii="Times New Roman" w:eastAsia="Times New Roman" w:hAnsi="Times New Roman" w:cs="Times New Roman"/>
            <w:bCs/>
            <w:color w:val="083062"/>
            <w:sz w:val="24"/>
            <w:szCs w:val="24"/>
          </w:rPr>
          <w:t>транзит</w:t>
        </w:r>
      </w:hyperlink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ного та ділового призначення, загальні та специфічні функціональні вимоги до цих типів засобів розміщення.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У сучасних умовах важливим завданням підприємств готельного господарства є задоволення потреб та вимог споживачів щодо пасивного та активного відпочинку шляхом постійного підвищення якості послуг. Вивчаючи тему, студенти мають ознайомитися зі струк</w:t>
      </w:r>
      <w:hyperlink r:id="rId7" w:tooltip="Словник термінів: Тур" w:history="1">
        <w:r w:rsidRPr="007B539B">
          <w:rPr>
            <w:rFonts w:ascii="Times New Roman" w:eastAsia="Times New Roman" w:hAnsi="Times New Roman" w:cs="Times New Roman"/>
            <w:bCs/>
            <w:color w:val="083062"/>
            <w:sz w:val="24"/>
            <w:szCs w:val="24"/>
          </w:rPr>
          <w:t>тур</w:t>
        </w:r>
      </w:hyperlink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ою готелів для відпочинку: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-       курортні;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-       </w:t>
      </w:r>
      <w:hyperlink r:id="rId8" w:tooltip="Словник термінів: Турист" w:history="1">
        <w:r w:rsidRPr="007B539B">
          <w:rPr>
            <w:rFonts w:ascii="Times New Roman" w:eastAsia="Times New Roman" w:hAnsi="Times New Roman" w:cs="Times New Roman"/>
            <w:bCs/>
            <w:color w:val="083062"/>
            <w:sz w:val="24"/>
            <w:szCs w:val="24"/>
          </w:rPr>
          <w:t>турист</w:t>
        </w:r>
      </w:hyperlink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ичні;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-       готелі для масового туризму;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-       готелі для сімейного відпочинку;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-       спеціалізовані туристичні.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Особливої уваги потребує питання щодо вивчення специфічних функціональних характеристик та вимог до підприємств цих типів.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Тема вимагає ознайомлення з: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-       особливостями умов для відпочинку і спортивних розваг;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-       організацією харчування;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-       послугами торгівлі;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-       можливостями гнучкої зміни місткості номерного фонду;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-       особливостями організації приміщень для ігор дітей.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Перед вивченням основних питань теми студент повинен усвідомити необхідність систематизації підприємств готельного господарства за класами. Для вирішення цього завдання доцільно проаналізувати історичні підходи до класифікації засобів розміщення.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При цьому слід засвоїти основні принципи та загальні підходи до класифікації підприємств готельного господарства в різних країнах Європи, Америки, Азіатських країн.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Заслуговують на глибокий аналіз рекомендації ВТО щодо створення пропозиції про існування декількох систем класифікації підприємств готельного господарства.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При розгляді класифікації засобів розміщення належить розгляну їй підходи до розробки документів, які встановлюють класифікацію і порядок її наступного проведення, притаманні міжнародній та вітчизняній практиці.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Важливим аспектом у вивченні теми є усвідомлення основних принципів та загальних вимог до підприємств готельного господарства.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На особливу увагу під час вивчення теми заслуговують питання щодо вивчення та засвоєння мінімальних вимог до підприємств готельного господарства різних категорій, що зафіксовані в законодавчій базі.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Рекомендовані джерела: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Основна література: 2, 11, 12, 13, 15, 16, 20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Додаткова література. 32, 33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Internet-ресурси: 36, 37, 38, 39, 40, 41, 42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Завдання для студентів</w:t>
      </w:r>
    </w:p>
    <w:bookmarkEnd w:id="0"/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1. Користуючись ДСТУ 4269:2003 «Послуги туристичні. Класифікація готелів» визначити категорію готелів за наступними умовами: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Задача 1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Готель має загальну площу двомісного номера 14 м</w:t>
      </w: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2</w:t>
      </w: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, окремий від службового вхід, автостоянку з охороною, цілодобовий підйом і спуск на ліфті, двері із внутрішнім запобіжником. Освітлення: від стельового світильника, приліжкового світильника, настільної лампи; телефонний апарат в апартаментах у кожній кімнаті. Оснащеність меблями: односпальне ліжко – 90x200 см, двоспальне – 160x190 см. Телефонний зв'язок: прямий телефон з міською, міжміською, міжнародною мережею (пряма в 100% номерів.) Санвузол – у 100 % номерів.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Задача 2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Персонал готелю вільно володіє однією з іноземних мов. Номера готелю оснащені: двоспальними ліжками розміром 160x200 см, килимами  або килимовим покриттям підлоги, кріслом для відпочинку на кожного гостя, рекламними матеріалами, халатом банним, тапочками банними. У готелі є плавальний басейн і сауна, приміщення для переговорів, комп'ютери, телефакс.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Задача 3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Готель має окремий від службового вхід для гостей, цілодобовий підйом і спуск на ліфті, двері і замки з внутрішнім запобіжником, холодильник у багатокімнатних номерах. Готель пропонує наступні послуги: щоденне прибирання номера покоївкою; зміна постільної білизни один раз на три дні; надання праски, гладильної дошки; зміна рушників один раз на три дні. У готелі є приміщення для перегляду телепередач, внутрішній телефонний зв'язок у 100% номерів, санвузол, розташований не менш ніж у 50% номерів.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val="uk-UA"/>
        </w:rPr>
      </w:pPr>
      <w:r w:rsidRPr="007B539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val="uk-UA"/>
        </w:rPr>
        <w:t>Задача 4</w:t>
      </w:r>
    </w:p>
    <w:p w:rsidR="007B539B" w:rsidRPr="007B539B" w:rsidRDefault="007B539B" w:rsidP="007B53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39B">
        <w:rPr>
          <w:rFonts w:ascii="Times New Roman" w:hAnsi="Times New Roman" w:cs="Times New Roman"/>
          <w:sz w:val="24"/>
          <w:szCs w:val="24"/>
        </w:rPr>
        <w:t xml:space="preserve">Відповідно до національного стандарту України ДСТУ 4527:2006 </w:t>
      </w:r>
      <w:r w:rsidRPr="007B539B">
        <w:rPr>
          <w:rFonts w:ascii="Times New Roman" w:eastAsia="@PMingLiU-ExtB" w:hAnsi="Times New Roman" w:cs="Times New Roman"/>
          <w:sz w:val="24"/>
          <w:szCs w:val="24"/>
        </w:rPr>
        <w:t>«</w:t>
      </w:r>
      <w:r w:rsidRPr="007B539B">
        <w:rPr>
          <w:rFonts w:ascii="Times New Roman" w:hAnsi="Times New Roman" w:cs="Times New Roman"/>
          <w:sz w:val="24"/>
          <w:szCs w:val="24"/>
        </w:rPr>
        <w:t>Послуги туристичні. Засоби розміщення. Терміни та визначення</w:t>
      </w:r>
      <w:r w:rsidRPr="007B539B">
        <w:rPr>
          <w:rFonts w:ascii="Times New Roman" w:eastAsia="@PMingLiU-ExtB" w:hAnsi="Times New Roman" w:cs="Times New Roman"/>
          <w:sz w:val="24"/>
          <w:szCs w:val="24"/>
        </w:rPr>
        <w:t>»</w:t>
      </w:r>
      <w:r w:rsidRPr="007B539B">
        <w:rPr>
          <w:rFonts w:ascii="Times New Roman" w:hAnsi="Times New Roman" w:cs="Times New Roman"/>
          <w:sz w:val="24"/>
          <w:szCs w:val="24"/>
        </w:rPr>
        <w:t>, в Україні існує 15 типів номерів, однак у статистичних щорічниках для зручності проведення аналізу всі номери підрозділяються на основні п'ять категорій: люкси, напівлюкси, одномісні, двомісні й багатомісні номери. Користуючись даними статистичного бюлетеня по засобах розміщення, провести дослідження структури номерного фонду підприємств готельного господарства певної адміністративно-територіальної одиниці України, заповнивши табл. 1.</w:t>
      </w:r>
    </w:p>
    <w:p w:rsidR="007B539B" w:rsidRPr="007B539B" w:rsidRDefault="007B539B" w:rsidP="007B53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539B" w:rsidRPr="007B539B" w:rsidRDefault="007B539B" w:rsidP="007B539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B539B">
        <w:rPr>
          <w:rFonts w:ascii="Times New Roman" w:hAnsi="Times New Roman" w:cs="Times New Roman"/>
          <w:sz w:val="24"/>
          <w:szCs w:val="24"/>
        </w:rPr>
        <w:t>Таблиця 1.</w:t>
      </w:r>
    </w:p>
    <w:p w:rsidR="007B539B" w:rsidRPr="007B539B" w:rsidRDefault="007B539B" w:rsidP="007B53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B539B">
        <w:rPr>
          <w:rFonts w:ascii="Times New Roman" w:hAnsi="Times New Roman" w:cs="Times New Roman"/>
          <w:sz w:val="24"/>
          <w:szCs w:val="24"/>
        </w:rPr>
        <w:t>Структура номерного фонду підприємств готельного господарства досліджуваного регіону України по типах номерів за поточний рік (одиниць / відсотків)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69"/>
        <w:gridCol w:w="1129"/>
        <w:gridCol w:w="1036"/>
        <w:gridCol w:w="1262"/>
        <w:gridCol w:w="1088"/>
        <w:gridCol w:w="1088"/>
        <w:gridCol w:w="1573"/>
      </w:tblGrid>
      <w:tr w:rsidR="007B539B" w:rsidRPr="007B539B" w:rsidTr="00A745A6">
        <w:tc>
          <w:tcPr>
            <w:tcW w:w="2169" w:type="dxa"/>
            <w:vMerge w:val="restart"/>
            <w:vAlign w:val="center"/>
          </w:tcPr>
          <w:p w:rsidR="007B539B" w:rsidRPr="007B539B" w:rsidRDefault="007B539B" w:rsidP="007B53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9B">
              <w:rPr>
                <w:rFonts w:ascii="Times New Roman" w:hAnsi="Times New Roman" w:cs="Times New Roman"/>
                <w:sz w:val="24"/>
                <w:szCs w:val="24"/>
              </w:rPr>
              <w:t>Типи засобів розміщення</w:t>
            </w:r>
          </w:p>
        </w:tc>
        <w:tc>
          <w:tcPr>
            <w:tcW w:w="1129" w:type="dxa"/>
            <w:vMerge w:val="restart"/>
            <w:vAlign w:val="center"/>
          </w:tcPr>
          <w:p w:rsidR="007B539B" w:rsidRPr="007B539B" w:rsidRDefault="007B539B" w:rsidP="007B53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5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6047" w:type="dxa"/>
            <w:gridSpan w:val="5"/>
            <w:vAlign w:val="center"/>
          </w:tcPr>
          <w:p w:rsidR="007B539B" w:rsidRPr="007B539B" w:rsidRDefault="007B539B" w:rsidP="007B53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5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Категорія</w:t>
            </w:r>
          </w:p>
        </w:tc>
      </w:tr>
      <w:tr w:rsidR="007B539B" w:rsidRPr="007B539B" w:rsidTr="00A745A6">
        <w:tc>
          <w:tcPr>
            <w:tcW w:w="2169" w:type="dxa"/>
            <w:vMerge/>
            <w:vAlign w:val="center"/>
          </w:tcPr>
          <w:p w:rsidR="007B539B" w:rsidRPr="007B539B" w:rsidRDefault="007B539B" w:rsidP="007B53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  <w:vAlign w:val="center"/>
          </w:tcPr>
          <w:p w:rsidR="007B539B" w:rsidRPr="007B539B" w:rsidRDefault="007B539B" w:rsidP="007B53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:rsidR="007B539B" w:rsidRPr="007B539B" w:rsidRDefault="007B539B" w:rsidP="007B53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5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5*</w:t>
            </w:r>
          </w:p>
        </w:tc>
        <w:tc>
          <w:tcPr>
            <w:tcW w:w="1262" w:type="dxa"/>
            <w:vAlign w:val="center"/>
          </w:tcPr>
          <w:p w:rsidR="007B539B" w:rsidRPr="007B539B" w:rsidRDefault="007B539B" w:rsidP="007B53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5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4*</w:t>
            </w:r>
          </w:p>
        </w:tc>
        <w:tc>
          <w:tcPr>
            <w:tcW w:w="1088" w:type="dxa"/>
            <w:vAlign w:val="center"/>
          </w:tcPr>
          <w:p w:rsidR="007B539B" w:rsidRPr="007B539B" w:rsidRDefault="007B539B" w:rsidP="007B53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5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3*</w:t>
            </w:r>
          </w:p>
        </w:tc>
        <w:tc>
          <w:tcPr>
            <w:tcW w:w="1088" w:type="dxa"/>
            <w:vAlign w:val="center"/>
          </w:tcPr>
          <w:p w:rsidR="007B539B" w:rsidRPr="007B539B" w:rsidRDefault="007B539B" w:rsidP="007B53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5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2*</w:t>
            </w:r>
          </w:p>
        </w:tc>
        <w:tc>
          <w:tcPr>
            <w:tcW w:w="1573" w:type="dxa"/>
            <w:vAlign w:val="center"/>
          </w:tcPr>
          <w:p w:rsidR="007B539B" w:rsidRPr="007B539B" w:rsidRDefault="007B539B" w:rsidP="007B53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5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 категорії</w:t>
            </w:r>
          </w:p>
        </w:tc>
      </w:tr>
      <w:tr w:rsidR="007B539B" w:rsidRPr="007B539B" w:rsidTr="00A745A6">
        <w:tc>
          <w:tcPr>
            <w:tcW w:w="2169" w:type="dxa"/>
            <w:vMerge w:val="restart"/>
            <w:vAlign w:val="center"/>
          </w:tcPr>
          <w:p w:rsidR="007B539B" w:rsidRPr="007B539B" w:rsidRDefault="007B539B" w:rsidP="007B53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9B">
              <w:rPr>
                <w:rFonts w:ascii="Times New Roman" w:hAnsi="Times New Roman" w:cs="Times New Roman"/>
                <w:sz w:val="24"/>
                <w:szCs w:val="24"/>
              </w:rPr>
              <w:t>Готелі</w:t>
            </w:r>
          </w:p>
        </w:tc>
        <w:tc>
          <w:tcPr>
            <w:tcW w:w="1129" w:type="dxa"/>
            <w:vAlign w:val="center"/>
          </w:tcPr>
          <w:p w:rsidR="007B539B" w:rsidRPr="007B539B" w:rsidRDefault="007B539B" w:rsidP="007B53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5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036" w:type="dxa"/>
          </w:tcPr>
          <w:p w:rsidR="007B539B" w:rsidRPr="007B539B" w:rsidRDefault="007B539B" w:rsidP="007B53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5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262" w:type="dxa"/>
          </w:tcPr>
          <w:p w:rsidR="007B539B" w:rsidRPr="007B539B" w:rsidRDefault="007B539B" w:rsidP="007B53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5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088" w:type="dxa"/>
          </w:tcPr>
          <w:p w:rsidR="007B539B" w:rsidRPr="007B539B" w:rsidRDefault="007B539B" w:rsidP="007B53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7B539B" w:rsidRPr="007B539B" w:rsidRDefault="007B539B" w:rsidP="007B53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7B539B" w:rsidRPr="007B539B" w:rsidRDefault="007B539B" w:rsidP="007B53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39B" w:rsidRPr="007B539B" w:rsidTr="00A745A6">
        <w:tc>
          <w:tcPr>
            <w:tcW w:w="2169" w:type="dxa"/>
            <w:vMerge/>
            <w:vAlign w:val="center"/>
          </w:tcPr>
          <w:p w:rsidR="007B539B" w:rsidRPr="007B539B" w:rsidRDefault="007B539B" w:rsidP="007B53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9" w:type="dxa"/>
            <w:vAlign w:val="center"/>
          </w:tcPr>
          <w:p w:rsidR="007B539B" w:rsidRPr="007B539B" w:rsidRDefault="007B539B" w:rsidP="007B53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5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036" w:type="dxa"/>
          </w:tcPr>
          <w:p w:rsidR="007B539B" w:rsidRPr="007B539B" w:rsidRDefault="007B539B" w:rsidP="007B53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7B539B" w:rsidRPr="007B539B" w:rsidRDefault="007B539B" w:rsidP="007B53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7B539B" w:rsidRPr="007B539B" w:rsidRDefault="007B539B" w:rsidP="007B53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7B539B" w:rsidRPr="007B539B" w:rsidRDefault="007B539B" w:rsidP="007B53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7B539B" w:rsidRPr="007B539B" w:rsidRDefault="007B539B" w:rsidP="007B53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39B" w:rsidRPr="007B539B" w:rsidTr="00A745A6">
        <w:tc>
          <w:tcPr>
            <w:tcW w:w="2169" w:type="dxa"/>
            <w:vMerge w:val="restart"/>
            <w:vAlign w:val="center"/>
          </w:tcPr>
          <w:p w:rsidR="007B539B" w:rsidRPr="007B539B" w:rsidRDefault="007B539B" w:rsidP="007B53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5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Мотелі</w:t>
            </w:r>
          </w:p>
        </w:tc>
        <w:tc>
          <w:tcPr>
            <w:tcW w:w="1129" w:type="dxa"/>
            <w:vAlign w:val="center"/>
          </w:tcPr>
          <w:p w:rsidR="007B539B" w:rsidRPr="007B539B" w:rsidRDefault="007B539B" w:rsidP="007B53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5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036" w:type="dxa"/>
          </w:tcPr>
          <w:p w:rsidR="007B539B" w:rsidRPr="007B539B" w:rsidRDefault="007B539B" w:rsidP="007B53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7B539B" w:rsidRPr="007B539B" w:rsidRDefault="007B539B" w:rsidP="007B53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7B539B" w:rsidRPr="007B539B" w:rsidRDefault="007B539B" w:rsidP="007B53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7B539B" w:rsidRPr="007B539B" w:rsidRDefault="007B539B" w:rsidP="007B53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7B539B" w:rsidRPr="007B539B" w:rsidRDefault="007B539B" w:rsidP="007B53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39B" w:rsidRPr="007B539B" w:rsidTr="00A745A6">
        <w:tc>
          <w:tcPr>
            <w:tcW w:w="2169" w:type="dxa"/>
            <w:vMerge/>
            <w:vAlign w:val="center"/>
          </w:tcPr>
          <w:p w:rsidR="007B539B" w:rsidRPr="007B539B" w:rsidRDefault="007B539B" w:rsidP="007B53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7B539B" w:rsidRPr="007B539B" w:rsidRDefault="007B539B" w:rsidP="007B53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5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036" w:type="dxa"/>
          </w:tcPr>
          <w:p w:rsidR="007B539B" w:rsidRPr="007B539B" w:rsidRDefault="007B539B" w:rsidP="007B53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7B539B" w:rsidRPr="007B539B" w:rsidRDefault="007B539B" w:rsidP="007B53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7B539B" w:rsidRPr="007B539B" w:rsidRDefault="007B539B" w:rsidP="007B53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7B539B" w:rsidRPr="007B539B" w:rsidRDefault="007B539B" w:rsidP="007B53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7B539B" w:rsidRPr="007B539B" w:rsidRDefault="007B539B" w:rsidP="007B53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39B" w:rsidRPr="007B539B" w:rsidTr="00A745A6">
        <w:tc>
          <w:tcPr>
            <w:tcW w:w="2169" w:type="dxa"/>
            <w:vMerge w:val="restart"/>
            <w:vAlign w:val="center"/>
          </w:tcPr>
          <w:p w:rsidR="007B539B" w:rsidRPr="007B539B" w:rsidRDefault="007B539B" w:rsidP="007B53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5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Кемпінги</w:t>
            </w:r>
          </w:p>
        </w:tc>
        <w:tc>
          <w:tcPr>
            <w:tcW w:w="1129" w:type="dxa"/>
            <w:vAlign w:val="center"/>
          </w:tcPr>
          <w:p w:rsidR="007B539B" w:rsidRPr="007B539B" w:rsidRDefault="007B539B" w:rsidP="007B53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5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036" w:type="dxa"/>
          </w:tcPr>
          <w:p w:rsidR="007B539B" w:rsidRPr="007B539B" w:rsidRDefault="007B539B" w:rsidP="007B53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7B539B" w:rsidRPr="007B539B" w:rsidRDefault="007B539B" w:rsidP="007B53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7B539B" w:rsidRPr="007B539B" w:rsidRDefault="007B539B" w:rsidP="007B53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7B539B" w:rsidRPr="007B539B" w:rsidRDefault="007B539B" w:rsidP="007B53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7B539B" w:rsidRPr="007B539B" w:rsidRDefault="007B539B" w:rsidP="007B53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39B" w:rsidRPr="007B539B" w:rsidTr="00A745A6">
        <w:tc>
          <w:tcPr>
            <w:tcW w:w="2169" w:type="dxa"/>
            <w:vMerge/>
            <w:vAlign w:val="center"/>
          </w:tcPr>
          <w:p w:rsidR="007B539B" w:rsidRPr="007B539B" w:rsidRDefault="007B539B" w:rsidP="007B53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7B539B" w:rsidRPr="007B539B" w:rsidRDefault="007B539B" w:rsidP="007B53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5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036" w:type="dxa"/>
          </w:tcPr>
          <w:p w:rsidR="007B539B" w:rsidRPr="007B539B" w:rsidRDefault="007B539B" w:rsidP="007B53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7B539B" w:rsidRPr="007B539B" w:rsidRDefault="007B539B" w:rsidP="007B53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7B539B" w:rsidRPr="007B539B" w:rsidRDefault="007B539B" w:rsidP="007B53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7B539B" w:rsidRPr="007B539B" w:rsidRDefault="007B539B" w:rsidP="007B53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7B539B" w:rsidRPr="007B539B" w:rsidRDefault="007B539B" w:rsidP="007B53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39B" w:rsidRPr="007B539B" w:rsidTr="00A745A6">
        <w:tc>
          <w:tcPr>
            <w:tcW w:w="2169" w:type="dxa"/>
            <w:vMerge w:val="restart"/>
            <w:vAlign w:val="center"/>
          </w:tcPr>
          <w:p w:rsidR="007B539B" w:rsidRPr="007B539B" w:rsidRDefault="007B539B" w:rsidP="007B53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5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Молодіжні турбази</w:t>
            </w:r>
          </w:p>
        </w:tc>
        <w:tc>
          <w:tcPr>
            <w:tcW w:w="1129" w:type="dxa"/>
            <w:vAlign w:val="center"/>
          </w:tcPr>
          <w:p w:rsidR="007B539B" w:rsidRPr="007B539B" w:rsidRDefault="007B539B" w:rsidP="007B53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5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036" w:type="dxa"/>
          </w:tcPr>
          <w:p w:rsidR="007B539B" w:rsidRPr="007B539B" w:rsidRDefault="007B539B" w:rsidP="007B53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7B539B" w:rsidRPr="007B539B" w:rsidRDefault="007B539B" w:rsidP="007B53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7B539B" w:rsidRPr="007B539B" w:rsidRDefault="007B539B" w:rsidP="007B53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7B539B" w:rsidRPr="007B539B" w:rsidRDefault="007B539B" w:rsidP="007B53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7B539B" w:rsidRPr="007B539B" w:rsidRDefault="007B539B" w:rsidP="007B53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39B" w:rsidRPr="007B539B" w:rsidTr="00A745A6">
        <w:tc>
          <w:tcPr>
            <w:tcW w:w="2169" w:type="dxa"/>
            <w:vMerge/>
            <w:vAlign w:val="center"/>
          </w:tcPr>
          <w:p w:rsidR="007B539B" w:rsidRPr="007B539B" w:rsidRDefault="007B539B" w:rsidP="007B53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7B539B" w:rsidRPr="007B539B" w:rsidRDefault="007B539B" w:rsidP="007B53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5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036" w:type="dxa"/>
          </w:tcPr>
          <w:p w:rsidR="007B539B" w:rsidRPr="007B539B" w:rsidRDefault="007B539B" w:rsidP="007B53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7B539B" w:rsidRPr="007B539B" w:rsidRDefault="007B539B" w:rsidP="007B53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7B539B" w:rsidRPr="007B539B" w:rsidRDefault="007B539B" w:rsidP="007B53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7B539B" w:rsidRPr="007B539B" w:rsidRDefault="007B539B" w:rsidP="007B53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7B539B" w:rsidRPr="007B539B" w:rsidRDefault="007B539B" w:rsidP="007B53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39B" w:rsidRPr="007B539B" w:rsidTr="00A745A6">
        <w:tc>
          <w:tcPr>
            <w:tcW w:w="2169" w:type="dxa"/>
            <w:vMerge w:val="restart"/>
            <w:vAlign w:val="center"/>
          </w:tcPr>
          <w:p w:rsidR="007B539B" w:rsidRPr="007B539B" w:rsidRDefault="007B539B" w:rsidP="007B53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9B">
              <w:rPr>
                <w:rFonts w:ascii="Times New Roman" w:hAnsi="Times New Roman" w:cs="Times New Roman"/>
                <w:sz w:val="24"/>
                <w:szCs w:val="24"/>
              </w:rPr>
              <w:t>Гуртожитки для приїжджих</w:t>
            </w:r>
          </w:p>
        </w:tc>
        <w:tc>
          <w:tcPr>
            <w:tcW w:w="1129" w:type="dxa"/>
            <w:vAlign w:val="center"/>
          </w:tcPr>
          <w:p w:rsidR="007B539B" w:rsidRPr="007B539B" w:rsidRDefault="007B539B" w:rsidP="007B53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5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036" w:type="dxa"/>
          </w:tcPr>
          <w:p w:rsidR="007B539B" w:rsidRPr="007B539B" w:rsidRDefault="007B539B" w:rsidP="007B53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7B539B" w:rsidRPr="007B539B" w:rsidRDefault="007B539B" w:rsidP="007B53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7B539B" w:rsidRPr="007B539B" w:rsidRDefault="007B539B" w:rsidP="007B53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7B539B" w:rsidRPr="007B539B" w:rsidRDefault="007B539B" w:rsidP="007B53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7B539B" w:rsidRPr="007B539B" w:rsidRDefault="007B539B" w:rsidP="007B53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39B" w:rsidRPr="007B539B" w:rsidTr="00A745A6">
        <w:tc>
          <w:tcPr>
            <w:tcW w:w="2169" w:type="dxa"/>
            <w:vMerge/>
            <w:vAlign w:val="center"/>
          </w:tcPr>
          <w:p w:rsidR="007B539B" w:rsidRPr="007B539B" w:rsidRDefault="007B539B" w:rsidP="007B53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7B539B" w:rsidRPr="007B539B" w:rsidRDefault="007B539B" w:rsidP="007B53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5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036" w:type="dxa"/>
          </w:tcPr>
          <w:p w:rsidR="007B539B" w:rsidRPr="007B539B" w:rsidRDefault="007B539B" w:rsidP="007B53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7B539B" w:rsidRPr="007B539B" w:rsidRDefault="007B539B" w:rsidP="007B53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7B539B" w:rsidRPr="007B539B" w:rsidRDefault="007B539B" w:rsidP="007B53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7B539B" w:rsidRPr="007B539B" w:rsidRDefault="007B539B" w:rsidP="007B53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7B539B" w:rsidRPr="007B539B" w:rsidRDefault="007B539B" w:rsidP="007B53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39B" w:rsidRPr="007B539B" w:rsidTr="00A745A6">
        <w:tc>
          <w:tcPr>
            <w:tcW w:w="2169" w:type="dxa"/>
            <w:vMerge w:val="restart"/>
            <w:vAlign w:val="center"/>
          </w:tcPr>
          <w:p w:rsidR="007B539B" w:rsidRPr="007B539B" w:rsidRDefault="007B539B" w:rsidP="007B53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5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129" w:type="dxa"/>
            <w:vAlign w:val="center"/>
          </w:tcPr>
          <w:p w:rsidR="007B539B" w:rsidRPr="007B539B" w:rsidRDefault="007B539B" w:rsidP="007B53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5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036" w:type="dxa"/>
          </w:tcPr>
          <w:p w:rsidR="007B539B" w:rsidRPr="007B539B" w:rsidRDefault="007B539B" w:rsidP="007B53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5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158</w:t>
            </w:r>
          </w:p>
        </w:tc>
        <w:tc>
          <w:tcPr>
            <w:tcW w:w="1262" w:type="dxa"/>
          </w:tcPr>
          <w:p w:rsidR="007B539B" w:rsidRPr="007B539B" w:rsidRDefault="007B539B" w:rsidP="007B53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7B539B" w:rsidRPr="007B539B" w:rsidRDefault="007B539B" w:rsidP="007B53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7B539B" w:rsidRPr="007B539B" w:rsidRDefault="007B539B" w:rsidP="007B53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7B539B" w:rsidRPr="007B539B" w:rsidRDefault="007B539B" w:rsidP="007B53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39B" w:rsidRPr="007B539B" w:rsidTr="00A745A6">
        <w:tc>
          <w:tcPr>
            <w:tcW w:w="2169" w:type="dxa"/>
            <w:vMerge/>
          </w:tcPr>
          <w:p w:rsidR="007B539B" w:rsidRPr="007B539B" w:rsidRDefault="007B539B" w:rsidP="007B53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7B539B" w:rsidRPr="007B539B" w:rsidRDefault="007B539B" w:rsidP="007B53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5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036" w:type="dxa"/>
          </w:tcPr>
          <w:p w:rsidR="007B539B" w:rsidRPr="007B539B" w:rsidRDefault="007B539B" w:rsidP="007B53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5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262" w:type="dxa"/>
          </w:tcPr>
          <w:p w:rsidR="007B539B" w:rsidRPr="007B539B" w:rsidRDefault="007B539B" w:rsidP="007B53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5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088" w:type="dxa"/>
          </w:tcPr>
          <w:p w:rsidR="007B539B" w:rsidRPr="007B539B" w:rsidRDefault="007B539B" w:rsidP="007B53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5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088" w:type="dxa"/>
          </w:tcPr>
          <w:p w:rsidR="007B539B" w:rsidRPr="007B539B" w:rsidRDefault="007B539B" w:rsidP="007B53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5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573" w:type="dxa"/>
          </w:tcPr>
          <w:p w:rsidR="007B539B" w:rsidRPr="007B539B" w:rsidRDefault="007B539B" w:rsidP="007B53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5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</w:tbl>
    <w:p w:rsidR="007B539B" w:rsidRPr="007B539B" w:rsidRDefault="007B539B" w:rsidP="007B53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39B">
        <w:rPr>
          <w:rFonts w:ascii="Times New Roman" w:hAnsi="Times New Roman" w:cs="Times New Roman"/>
          <w:sz w:val="24"/>
          <w:szCs w:val="24"/>
        </w:rPr>
        <w:t xml:space="preserve">На підставі даних табл. 1 потрібно: </w:t>
      </w:r>
    </w:p>
    <w:p w:rsidR="007B539B" w:rsidRPr="007B539B" w:rsidRDefault="007B539B" w:rsidP="007B53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39B">
        <w:rPr>
          <w:rFonts w:ascii="Times New Roman" w:hAnsi="Times New Roman" w:cs="Times New Roman"/>
          <w:sz w:val="24"/>
          <w:szCs w:val="24"/>
        </w:rPr>
        <w:t>− визначити питому вагу всіх типів номерів підприємств готельного господарства в їх загальній кількості;</w:t>
      </w:r>
    </w:p>
    <w:p w:rsidR="007B539B" w:rsidRPr="007B539B" w:rsidRDefault="007B539B" w:rsidP="007B53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539B">
        <w:rPr>
          <w:rFonts w:ascii="Times New Roman" w:hAnsi="Times New Roman" w:cs="Times New Roman"/>
          <w:sz w:val="24"/>
          <w:szCs w:val="24"/>
        </w:rPr>
        <w:t>− дослідити структуру номерного фонду підприємств готельного господарства досліджуваного регіону та зробити певні висновки.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Тестові завдання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1.   У статистиці туризму засіб розміщення – це: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1)   суб'єкт підприємництва, що реалізує послугу розміщення за гроші;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2)   підприємство, яке надає послуги проживання;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3)   будь-який об'єкт, що надає ночівлю – платно або безкоштовно.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2.   </w:t>
      </w:r>
      <w:hyperlink r:id="rId9" w:tooltip="Готелі ділового призначення" w:history="1">
        <w:r w:rsidRPr="007B539B">
          <w:rPr>
            <w:rFonts w:ascii="Times New Roman" w:eastAsia="Times New Roman" w:hAnsi="Times New Roman" w:cs="Times New Roman"/>
            <w:b/>
            <w:i/>
            <w:iCs/>
            <w:sz w:val="24"/>
            <w:szCs w:val="24"/>
          </w:rPr>
          <w:t>Готелі ділового призначення</w:t>
        </w:r>
      </w:hyperlink>
      <w:r w:rsidRPr="007B539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 є переважно готелями: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1)   низького рівня комфорту;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2)   високого рівня комфорту;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3)   рівень комфорту не має значення.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3.   Невеликі заклади, що пропонують домашній комфорт, носять назву: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1)   апарт-готель;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2)   Bed and Breakfast;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3)   таймшер.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4.   Хостел – це: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1)   готель довготривалого проживання для ділових людей;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2)   рекреаційний заклад для сімей з дітьми;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3)   готелі спрощеного сервісу переважно для молоді.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5.   До закладів розміщення рекреаційного типу належать: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1)   бізнес-готелі;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2)   готелі для екскурсійного туризму;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3)   туристичні містечка.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6.   До засобів розміщення для подорожуючих автотранспортом належать: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1)   ботелі;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2)   ротелі;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3)   лотелі.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7.   Серед основних критеріїв готельного комфорту: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1)   кількісний склад персоналу;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2)   місткість будівлі та кількість поверхів;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3)   склад і якість номерів.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8.   Серед статичних показників готельного комфорту: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1)   площа номерів;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2)   умеблювання номерів;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3)   асортимент додаткових послуг.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9.   Основою якісного типу класифікаційної оцінки є класифікація: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1)   французька;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2)   індійська;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3)   гонконгівська.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10.   </w:t>
      </w:r>
      <w:r w:rsidRPr="007B539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Сертифікацією називають процедури, що мають на меті: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1)   отримати дозвіл на здійснення певного виду діяльності;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2)   підтвердити відповідність якості послуг стандарту;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3)   зареєструвати готель як юридичну особу – суб'єкт підприємництва.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11.   В Україні сертифікація готельних послуг здійснюється на засадах: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1)   добровільності;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2)   обов'язковості;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3)   по-різному для різних готелів.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12.   Обов'язковою є сертифікація готелів України за схемою: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1)   відповідності вимогам нормативних документів;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2)   відповідності категорії зірок;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3)   оцінювання системи якості.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13.   Нині в Україні діє стандарт класифікації готелів: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1)   UN WТО;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2)   міждержавний;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3)   національний.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1</w:t>
      </w:r>
      <w:r w:rsidRPr="007B539B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val="uk-UA"/>
        </w:rPr>
        <w:t>3</w:t>
      </w:r>
      <w:r w:rsidRPr="007B539B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. Документація, що встановлює правила виконання певних видів робіт у готелі, носить назву: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а) експлуатаційної;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б) туристської;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в) нормативної.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val="uk-UA"/>
        </w:rPr>
        <w:t>14</w:t>
      </w:r>
      <w:r w:rsidRPr="007B539B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.   Правила  користування  готелем   та   надання  готельних   послуг визначають взаємні права та обов'язки: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а) адміністрації та персоналу готелю;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б) готельного підприємства та вищого органу;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в) адміністрації готелю та проживаючих (замовників).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/>
        </w:rPr>
        <w:t>15</w:t>
      </w:r>
      <w:r w:rsidRPr="007B539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.   З</w:t>
      </w:r>
      <w:hyperlink r:id="rId10" w:tooltip="Словник термінів: Гід" w:history="1">
        <w:r w:rsidRPr="007B539B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>гід</w:t>
        </w:r>
      </w:hyperlink>
      <w:r w:rsidRPr="007B539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но </w:t>
      </w:r>
      <w:r w:rsidRPr="007B539B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з Правилами користування готелем та надання готельних послуг оплата за проживання в готелі здійснюється: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а) подобово та погодинно;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б) подобово з оплатою додатково за півдоби при виїзді після 12 до 0 годин;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в) подобово з оплатою додатково за півдоби при заїзді з 0 до 12 годин і при виїзді після 12 до 0 годин.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val="uk-UA"/>
        </w:rPr>
        <w:t>16</w:t>
      </w:r>
      <w:r w:rsidRPr="007B539B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.   Згідно з Правилами користування готелем та надання готельних послуг готель гарантує гостям зберігання їх речей: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а) усіх, що знаходяться в номері;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б) усіх, що знаходяться в номері, крім цінних, які слід здавати на окреме зберігання;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в) усіх речей без винятку.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17.   У разі порушення Правил користування готелем та надання готельних послуг адміністрацією готелю споживач має право: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а) тільки записати скаргу у Книгу скарг і пропозицій;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б) тільки скаржитись у вищі органи;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eastAsia="Times New Roman" w:hAnsi="Times New Roman" w:cs="Times New Roman"/>
          <w:color w:val="333333"/>
          <w:sz w:val="24"/>
          <w:szCs w:val="24"/>
        </w:rPr>
        <w:t>в) розірвати договір з готелем і вимагати відшкодування збитків.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539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18. </w:t>
      </w:r>
      <w:r w:rsidRPr="007B539B">
        <w:rPr>
          <w:rFonts w:ascii="Times New Roman" w:hAnsi="Times New Roman" w:cs="Times New Roman"/>
          <w:b/>
          <w:i/>
          <w:sz w:val="24"/>
          <w:szCs w:val="24"/>
        </w:rPr>
        <w:t xml:space="preserve">Одним із авторів концепції </w:t>
      </w:r>
      <w:r w:rsidRPr="007B539B">
        <w:rPr>
          <w:rFonts w:ascii="Times New Roman" w:eastAsia="@PMingLiU-ExtB" w:hAnsi="Times New Roman" w:cs="Times New Roman"/>
          <w:b/>
          <w:i/>
          <w:sz w:val="24"/>
          <w:szCs w:val="24"/>
        </w:rPr>
        <w:t>«</w:t>
      </w:r>
      <w:r w:rsidRPr="007B539B">
        <w:rPr>
          <w:rFonts w:ascii="Times New Roman" w:hAnsi="Times New Roman" w:cs="Times New Roman"/>
          <w:b/>
          <w:i/>
          <w:sz w:val="24"/>
          <w:szCs w:val="24"/>
        </w:rPr>
        <w:t>Індустрія гостинності</w:t>
      </w:r>
      <w:r w:rsidRPr="007B539B">
        <w:rPr>
          <w:rFonts w:ascii="Times New Roman" w:eastAsia="@PMingLiU-ExtB" w:hAnsi="Times New Roman" w:cs="Times New Roman"/>
          <w:b/>
          <w:i/>
          <w:sz w:val="24"/>
          <w:szCs w:val="24"/>
        </w:rPr>
        <w:t>»</w:t>
      </w:r>
      <w:r w:rsidRPr="007B539B">
        <w:rPr>
          <w:rFonts w:ascii="Times New Roman" w:hAnsi="Times New Roman" w:cs="Times New Roman"/>
          <w:b/>
          <w:i/>
          <w:sz w:val="24"/>
          <w:szCs w:val="24"/>
        </w:rPr>
        <w:t xml:space="preserve"> є: 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39B">
        <w:rPr>
          <w:rFonts w:ascii="Times New Roman" w:hAnsi="Times New Roman" w:cs="Times New Roman"/>
          <w:sz w:val="24"/>
          <w:szCs w:val="24"/>
        </w:rPr>
        <w:t xml:space="preserve">а) британський вчений Дж. Торкилдсен; 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39B">
        <w:rPr>
          <w:rFonts w:ascii="Times New Roman" w:hAnsi="Times New Roman" w:cs="Times New Roman"/>
          <w:sz w:val="24"/>
          <w:szCs w:val="24"/>
        </w:rPr>
        <w:t xml:space="preserve">б) німецький вчений В. Фрейєр; 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39B">
        <w:rPr>
          <w:rFonts w:ascii="Times New Roman" w:hAnsi="Times New Roman" w:cs="Times New Roman"/>
          <w:sz w:val="24"/>
          <w:szCs w:val="24"/>
        </w:rPr>
        <w:t>в) російський вчений А. С. Кусков;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39B">
        <w:rPr>
          <w:rFonts w:ascii="Times New Roman" w:hAnsi="Times New Roman" w:cs="Times New Roman"/>
          <w:sz w:val="24"/>
          <w:szCs w:val="24"/>
        </w:rPr>
        <w:t xml:space="preserve">г) американський вчений Дж. Гриффин. 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539B">
        <w:rPr>
          <w:rFonts w:ascii="Times New Roman" w:hAnsi="Times New Roman" w:cs="Times New Roman"/>
          <w:b/>
          <w:i/>
          <w:sz w:val="24"/>
          <w:szCs w:val="24"/>
          <w:lang w:val="uk-UA"/>
        </w:rPr>
        <w:t>19</w:t>
      </w:r>
      <w:r w:rsidRPr="007B539B">
        <w:rPr>
          <w:rFonts w:ascii="Times New Roman" w:hAnsi="Times New Roman" w:cs="Times New Roman"/>
          <w:b/>
          <w:i/>
          <w:sz w:val="24"/>
          <w:szCs w:val="24"/>
        </w:rPr>
        <w:t xml:space="preserve">. Документом, згідно з яким готель має бути </w:t>
      </w:r>
      <w:r w:rsidRPr="007B539B">
        <w:rPr>
          <w:rFonts w:ascii="Times New Roman" w:eastAsia="@PMingLiU-ExtB" w:hAnsi="Times New Roman" w:cs="Times New Roman"/>
          <w:b/>
          <w:i/>
          <w:sz w:val="24"/>
          <w:szCs w:val="24"/>
        </w:rPr>
        <w:t>«</w:t>
      </w:r>
      <w:r w:rsidRPr="007B539B">
        <w:rPr>
          <w:rFonts w:ascii="Times New Roman" w:hAnsi="Times New Roman" w:cs="Times New Roman"/>
          <w:b/>
          <w:i/>
          <w:sz w:val="24"/>
          <w:szCs w:val="24"/>
        </w:rPr>
        <w:t>підприємством будь-якої організаційно-правової форми</w:t>
      </w:r>
      <w:r w:rsidRPr="007B539B">
        <w:rPr>
          <w:rFonts w:ascii="Times New Roman" w:eastAsia="@PMingLiU-ExtB" w:hAnsi="Times New Roman" w:cs="Times New Roman"/>
          <w:b/>
          <w:i/>
          <w:sz w:val="24"/>
          <w:szCs w:val="24"/>
        </w:rPr>
        <w:t>»</w:t>
      </w:r>
      <w:r w:rsidRPr="007B539B">
        <w:rPr>
          <w:rFonts w:ascii="Times New Roman" w:hAnsi="Times New Roman" w:cs="Times New Roman"/>
          <w:b/>
          <w:i/>
          <w:sz w:val="24"/>
          <w:szCs w:val="24"/>
        </w:rPr>
        <w:t xml:space="preserve">, є: 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39B">
        <w:rPr>
          <w:rFonts w:ascii="Times New Roman" w:hAnsi="Times New Roman" w:cs="Times New Roman"/>
          <w:sz w:val="24"/>
          <w:szCs w:val="24"/>
        </w:rPr>
        <w:t xml:space="preserve">а) Закон України </w:t>
      </w:r>
      <w:r w:rsidRPr="007B539B">
        <w:rPr>
          <w:rFonts w:ascii="Times New Roman" w:eastAsia="@PMingLiU-ExtB" w:hAnsi="Times New Roman" w:cs="Times New Roman"/>
          <w:sz w:val="24"/>
          <w:szCs w:val="24"/>
        </w:rPr>
        <w:t>«</w:t>
      </w:r>
      <w:r w:rsidRPr="007B539B">
        <w:rPr>
          <w:rFonts w:ascii="Times New Roman" w:hAnsi="Times New Roman" w:cs="Times New Roman"/>
          <w:sz w:val="24"/>
          <w:szCs w:val="24"/>
        </w:rPr>
        <w:t>Про туризм</w:t>
      </w:r>
      <w:r w:rsidRPr="007B539B">
        <w:rPr>
          <w:rFonts w:ascii="Times New Roman" w:eastAsia="@PMingLiU-ExtB" w:hAnsi="Times New Roman" w:cs="Times New Roman"/>
          <w:sz w:val="24"/>
          <w:szCs w:val="24"/>
        </w:rPr>
        <w:t>»</w:t>
      </w:r>
      <w:r w:rsidRPr="007B539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39B">
        <w:rPr>
          <w:rFonts w:ascii="Times New Roman" w:hAnsi="Times New Roman" w:cs="Times New Roman"/>
          <w:sz w:val="24"/>
          <w:szCs w:val="24"/>
        </w:rPr>
        <w:t xml:space="preserve">б) Закон України </w:t>
      </w:r>
      <w:r w:rsidRPr="007B539B">
        <w:rPr>
          <w:rFonts w:ascii="Times New Roman" w:eastAsia="@PMingLiU-ExtB" w:hAnsi="Times New Roman" w:cs="Times New Roman"/>
          <w:sz w:val="24"/>
          <w:szCs w:val="24"/>
        </w:rPr>
        <w:t>«</w:t>
      </w:r>
      <w:r w:rsidRPr="007B539B">
        <w:rPr>
          <w:rFonts w:ascii="Times New Roman" w:hAnsi="Times New Roman" w:cs="Times New Roman"/>
          <w:sz w:val="24"/>
          <w:szCs w:val="24"/>
        </w:rPr>
        <w:t xml:space="preserve">Про внесення змін до Закону України </w:t>
      </w:r>
      <w:r w:rsidRPr="007B539B">
        <w:rPr>
          <w:rFonts w:ascii="Times New Roman" w:eastAsia="@PMingLiU-ExtB" w:hAnsi="Times New Roman" w:cs="Times New Roman"/>
          <w:sz w:val="24"/>
          <w:szCs w:val="24"/>
        </w:rPr>
        <w:t>«</w:t>
      </w:r>
      <w:r w:rsidRPr="007B539B">
        <w:rPr>
          <w:rFonts w:ascii="Times New Roman" w:hAnsi="Times New Roman" w:cs="Times New Roman"/>
          <w:sz w:val="24"/>
          <w:szCs w:val="24"/>
        </w:rPr>
        <w:t>Про туризм</w:t>
      </w:r>
      <w:r w:rsidRPr="007B539B">
        <w:rPr>
          <w:rFonts w:ascii="Times New Roman" w:eastAsia="@PMingLiU-ExtB" w:hAnsi="Times New Roman" w:cs="Times New Roman"/>
          <w:sz w:val="24"/>
          <w:szCs w:val="24"/>
        </w:rPr>
        <w:t>»</w:t>
      </w:r>
      <w:r w:rsidRPr="007B539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539B">
        <w:rPr>
          <w:rFonts w:ascii="Times New Roman" w:hAnsi="Times New Roman" w:cs="Times New Roman"/>
          <w:sz w:val="24"/>
          <w:szCs w:val="24"/>
        </w:rPr>
        <w:t xml:space="preserve">в) ДСТУ 4268:2003 </w:t>
      </w:r>
      <w:r w:rsidRPr="007B539B">
        <w:rPr>
          <w:rFonts w:ascii="Times New Roman" w:eastAsia="@PMingLiU-ExtB" w:hAnsi="Times New Roman" w:cs="Times New Roman"/>
          <w:sz w:val="24"/>
          <w:szCs w:val="24"/>
        </w:rPr>
        <w:t>«</w:t>
      </w:r>
      <w:r w:rsidRPr="007B539B">
        <w:rPr>
          <w:rFonts w:ascii="Times New Roman" w:hAnsi="Times New Roman" w:cs="Times New Roman"/>
          <w:sz w:val="24"/>
          <w:szCs w:val="24"/>
        </w:rPr>
        <w:t>Послуги туристичні. Засоби розміщування. Загальні вимоги</w:t>
      </w:r>
      <w:r w:rsidRPr="007B539B">
        <w:rPr>
          <w:rFonts w:ascii="Times New Roman" w:eastAsia="@PMingLiU-ExtB" w:hAnsi="Times New Roman" w:cs="Times New Roman"/>
          <w:sz w:val="24"/>
          <w:szCs w:val="24"/>
        </w:rPr>
        <w:t>»</w:t>
      </w:r>
      <w:r w:rsidRPr="007B539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39B">
        <w:rPr>
          <w:rFonts w:ascii="Times New Roman" w:hAnsi="Times New Roman" w:cs="Times New Roman"/>
          <w:sz w:val="24"/>
          <w:szCs w:val="24"/>
        </w:rPr>
        <w:t xml:space="preserve">г) ДСТУ 4269:2003 </w:t>
      </w:r>
      <w:r w:rsidRPr="007B539B">
        <w:rPr>
          <w:rFonts w:ascii="Times New Roman" w:eastAsia="@PMingLiU-ExtB" w:hAnsi="Times New Roman" w:cs="Times New Roman"/>
          <w:sz w:val="24"/>
          <w:szCs w:val="24"/>
        </w:rPr>
        <w:t>«</w:t>
      </w:r>
      <w:r w:rsidRPr="007B539B">
        <w:rPr>
          <w:rFonts w:ascii="Times New Roman" w:hAnsi="Times New Roman" w:cs="Times New Roman"/>
          <w:sz w:val="24"/>
          <w:szCs w:val="24"/>
        </w:rPr>
        <w:t>Послуги туристичні. Класифікація готелів</w:t>
      </w:r>
      <w:r w:rsidRPr="007B539B">
        <w:rPr>
          <w:rFonts w:ascii="Times New Roman" w:eastAsia="@PMingLiU-ExtB" w:hAnsi="Times New Roman" w:cs="Times New Roman"/>
          <w:sz w:val="24"/>
          <w:szCs w:val="24"/>
        </w:rPr>
        <w:t>»</w:t>
      </w:r>
      <w:r w:rsidRPr="007B539B">
        <w:rPr>
          <w:rFonts w:ascii="Times New Roman" w:hAnsi="Times New Roman" w:cs="Times New Roman"/>
          <w:sz w:val="24"/>
          <w:szCs w:val="24"/>
        </w:rPr>
        <w:t>.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539B">
        <w:rPr>
          <w:rFonts w:ascii="Times New Roman" w:hAnsi="Times New Roman" w:cs="Times New Roman"/>
          <w:b/>
          <w:i/>
          <w:sz w:val="24"/>
          <w:szCs w:val="24"/>
          <w:lang w:val="uk-UA"/>
        </w:rPr>
        <w:t>20</w:t>
      </w:r>
      <w:r w:rsidRPr="007B539B">
        <w:rPr>
          <w:rFonts w:ascii="Times New Roman" w:hAnsi="Times New Roman" w:cs="Times New Roman"/>
          <w:b/>
          <w:i/>
          <w:sz w:val="24"/>
          <w:szCs w:val="24"/>
        </w:rPr>
        <w:t xml:space="preserve">. Відповідно до статистичних даних, одноразова місткість засобів розміщення гостинного типу в умовах сьогодення складає: 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39B">
        <w:rPr>
          <w:rFonts w:ascii="Times New Roman" w:hAnsi="Times New Roman" w:cs="Times New Roman"/>
          <w:sz w:val="24"/>
          <w:szCs w:val="24"/>
        </w:rPr>
        <w:t xml:space="preserve">а) менше ніж 50 тис.; 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39B">
        <w:rPr>
          <w:rFonts w:ascii="Times New Roman" w:hAnsi="Times New Roman" w:cs="Times New Roman"/>
          <w:sz w:val="24"/>
          <w:szCs w:val="24"/>
        </w:rPr>
        <w:t xml:space="preserve">б) майже 100 тис.; 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39B">
        <w:rPr>
          <w:rFonts w:ascii="Times New Roman" w:hAnsi="Times New Roman" w:cs="Times New Roman"/>
          <w:sz w:val="24"/>
          <w:szCs w:val="24"/>
        </w:rPr>
        <w:t xml:space="preserve">в) майже 530 тис.; </w:t>
      </w:r>
    </w:p>
    <w:p w:rsidR="007B539B" w:rsidRPr="007B539B" w:rsidRDefault="007B539B" w:rsidP="007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539B">
        <w:rPr>
          <w:rFonts w:ascii="Times New Roman" w:hAnsi="Times New Roman" w:cs="Times New Roman"/>
          <w:sz w:val="24"/>
          <w:szCs w:val="24"/>
        </w:rPr>
        <w:t>г) понад 800 тис.</w:t>
      </w:r>
    </w:p>
    <w:p w:rsidR="005736DE" w:rsidRDefault="005736DE"/>
    <w:sectPr w:rsidR="00573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@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F714C"/>
    <w:multiLevelType w:val="multilevel"/>
    <w:tmpl w:val="5EDA2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9C7"/>
    <w:rsid w:val="002059C7"/>
    <w:rsid w:val="005736DE"/>
    <w:rsid w:val="007B539B"/>
    <w:rsid w:val="00CC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3DCA8-5EE9-4987-99C6-CC55A09B7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5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B539B"/>
    <w:rPr>
      <w:b/>
      <w:bCs/>
    </w:rPr>
  </w:style>
  <w:style w:type="character" w:styleId="a5">
    <w:name w:val="Hyperlink"/>
    <w:basedOn w:val="a0"/>
    <w:uiPriority w:val="99"/>
    <w:semiHidden/>
    <w:unhideWhenUsed/>
    <w:rsid w:val="007B539B"/>
    <w:rPr>
      <w:color w:val="0000FF"/>
      <w:u w:val="single"/>
    </w:rPr>
  </w:style>
  <w:style w:type="table" w:styleId="a6">
    <w:name w:val="Table Grid"/>
    <w:basedOn w:val="a1"/>
    <w:uiPriority w:val="39"/>
    <w:rsid w:val="007B5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6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nubip.edu.ua/mod/glossary/showentry.php?eid=198912&amp;displayformat=dictiona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earn.nubip.edu.ua/mod/glossary/showentry.php?eid=198909&amp;displayformat=dictionar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arn.nubip.edu.ua/mod/glossary/showentry.php?eid=198906&amp;displayformat=dictionar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learn.nubip.edu.ua/mod/book/view.php?id=259305" TargetMode="External"/><Relationship Id="rId10" Type="http://schemas.openxmlformats.org/officeDocument/2006/relationships/hyperlink" Target="https://elearn.nubip.edu.ua/mod/glossary/showentry.php?eid=198846&amp;displayformat=diction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earn.nubip.edu.ua/mod/resource/view.php?id=3752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1761</Words>
  <Characters>10044</Characters>
  <Application>Microsoft Office Word</Application>
  <DocSecurity>0</DocSecurity>
  <Lines>83</Lines>
  <Paragraphs>23</Paragraphs>
  <ScaleCrop>false</ScaleCrop>
  <Company/>
  <LinksUpToDate>false</LinksUpToDate>
  <CharactersWithSpaces>11782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Климчук</dc:creator>
  <cp:keywords/>
  <dc:description/>
  <cp:lastModifiedBy>Сергей Климчук</cp:lastModifiedBy>
  <cp:revision>3</cp:revision>
  <dcterms:created xsi:type="dcterms:W3CDTF">2022-09-28T10:03:00Z</dcterms:created>
  <dcterms:modified xsi:type="dcterms:W3CDTF">2022-09-30T13:01:00Z</dcterms:modified>
</cp:coreProperties>
</file>