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212" w:type="dxa"/>
        <w:tblInd w:w="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5"/>
        <w:gridCol w:w="6"/>
        <w:gridCol w:w="5211"/>
      </w:tblGrid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</w:p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7. ЗАСВІДЧЕННЯ ДОДАТКА ДО ДИПЛОМА</w:t>
            </w:r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28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bookmarkStart w:id="0" w:name="_Hlk71506094"/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7.1 </w:t>
            </w:r>
            <w:bookmarkStart w:id="1" w:name="_Hlk71506086"/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Дата </w:t>
            </w:r>
            <w:bookmarkEnd w:id="0"/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/ </w:t>
            </w:r>
            <w:bookmarkEnd w:id="1"/>
          </w:p>
        </w:tc>
      </w:tr>
      <w:tr w:rsidR="00456AAA" w:rsidRPr="008774C2" w:rsidTr="00456AAA">
        <w:tc>
          <w:tcPr>
            <w:tcW w:w="4995" w:type="dxa"/>
            <w:tcBorders>
              <w:right w:val="single" w:sz="4" w:space="0" w:color="auto"/>
            </w:tcBorders>
            <w:vAlign w:val="center"/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color w:val="000000"/>
                <w:lang w:val="uk-UA"/>
              </w:rPr>
              <w:t>[Дата видачі]</w:t>
            </w:r>
          </w:p>
        </w:tc>
        <w:tc>
          <w:tcPr>
            <w:tcW w:w="5217" w:type="dxa"/>
            <w:gridSpan w:val="2"/>
            <w:tcBorders>
              <w:left w:val="single" w:sz="4" w:space="0" w:color="auto"/>
            </w:tcBorders>
            <w:vAlign w:val="center"/>
          </w:tcPr>
          <w:p w:rsidR="00456AAA" w:rsidRPr="008774C2" w:rsidRDefault="00456AAA" w:rsidP="00456AAA">
            <w:pPr>
              <w:tabs>
                <w:tab w:val="left" w:pos="10348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8774C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lang w:val="uk-UA"/>
              </w:rPr>
              <w:t xml:space="preserve">7.2 Підпис / </w:t>
            </w:r>
          </w:p>
        </w:tc>
      </w:tr>
      <w:tr w:rsidR="00456AAA" w:rsidRPr="008774C2" w:rsidTr="00456AAA">
        <w:tc>
          <w:tcPr>
            <w:tcW w:w="4995" w:type="dxa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3816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56AAA" w:rsidRPr="008774C2" w:rsidRDefault="00456AAA" w:rsidP="000A74D4">
            <w:pPr>
              <w:tabs>
                <w:tab w:val="left" w:pos="3816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5217" w:type="dxa"/>
            <w:gridSpan w:val="2"/>
            <w:tcBorders>
              <w:left w:val="single" w:sz="4" w:space="0" w:color="auto"/>
            </w:tcBorders>
          </w:tcPr>
          <w:p w:rsidR="00456AAA" w:rsidRDefault="00456AA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456AAA" w:rsidRPr="008774C2" w:rsidRDefault="00456AAA" w:rsidP="000A74D4">
            <w:pPr>
              <w:tabs>
                <w:tab w:val="left" w:pos="3816"/>
              </w:tabs>
              <w:spacing w:line="228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39158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2" w:name="_Hlk71506177"/>
            <w:r w:rsidRPr="008774C2">
              <w:rPr>
                <w:rFonts w:ascii="Times New Roman" w:hAnsi="Times New Roman" w:cs="Times New Roman"/>
                <w:b/>
                <w:lang w:val="uk-UA"/>
              </w:rPr>
              <w:t>7.3 Керівник або уповноважена особа закладу вищої освіти</w:t>
            </w:r>
            <w:bookmarkEnd w:id="2"/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3" w:name="_Hlk71506194"/>
            <w:r w:rsidRPr="008774C2">
              <w:rPr>
                <w:rFonts w:ascii="Times New Roman" w:hAnsi="Times New Roman" w:cs="Times New Roman"/>
                <w:b/>
                <w:lang w:val="uk-UA"/>
              </w:rPr>
              <w:t>7.3.1 Ініціали, Прізвище</w:t>
            </w:r>
            <w:bookmarkEnd w:id="3"/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4" w:name="_Hlk71506311"/>
            <w:r w:rsidRPr="008774C2">
              <w:rPr>
                <w:rFonts w:ascii="Times New Roman" w:hAnsi="Times New Roman" w:cs="Times New Roman"/>
                <w:b/>
                <w:lang w:val="uk-UA"/>
              </w:rPr>
              <w:t>7.3.2 Посада керівника або іншої уповноваженої особи закладу вищої освіти (наукової установи)</w:t>
            </w:r>
            <w:bookmarkEnd w:id="4"/>
          </w:p>
          <w:p w:rsidR="00456AAA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  <w:bookmarkStart w:id="5" w:name="_Hlk71506360"/>
            <w:r w:rsidRPr="008774C2">
              <w:rPr>
                <w:rFonts w:ascii="Times New Roman" w:hAnsi="Times New Roman" w:cs="Times New Roman"/>
                <w:b/>
                <w:lang w:val="uk-UA"/>
              </w:rPr>
              <w:t xml:space="preserve">7.4 Печатка </w:t>
            </w:r>
            <w:bookmarkEnd w:id="5"/>
            <w:r w:rsidRPr="008774C2">
              <w:rPr>
                <w:rFonts w:ascii="Times New Roman" w:hAnsi="Times New Roman" w:cs="Times New Roman"/>
                <w:b/>
                <w:lang w:val="uk-UA"/>
              </w:rPr>
              <w:t>/</w:t>
            </w:r>
          </w:p>
          <w:p w:rsidR="00456AAA" w:rsidRPr="008774C2" w:rsidRDefault="00456AAA" w:rsidP="000A74D4">
            <w:pPr>
              <w:tabs>
                <w:tab w:val="left" w:pos="10348"/>
              </w:tabs>
              <w:spacing w:before="120" w:line="228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6AAA" w:rsidRPr="008774C2" w:rsidTr="000A74D4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0A74D4">
            <w:pPr>
              <w:tabs>
                <w:tab w:val="left" w:pos="10348"/>
              </w:tabs>
              <w:spacing w:line="228" w:lineRule="auto"/>
              <w:ind w:left="284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56AAA" w:rsidRPr="0039158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tabs>
                <w:tab w:val="left" w:pos="10348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774C2">
              <w:rPr>
                <w:rFonts w:ascii="Times New Roman" w:hAnsi="Times New Roman" w:cs="Times New Roman"/>
                <w:b/>
                <w:color w:val="000000"/>
                <w:lang w:val="uk-UA"/>
              </w:rPr>
              <w:t>8. ІНФОРМАЦІЯ ПРО НАЦІОНАЛЬНУ СИСТЕМУ ВИЩОЇ ОСВІТИ</w:t>
            </w:r>
          </w:p>
        </w:tc>
      </w:tr>
      <w:tr w:rsidR="00456AAA" w:rsidRPr="0039158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Інформація про національну систему вищої освіти, подана на наступних сторінках,  висвітлює особливості кваліфікації вищої освіти та закладу вищої освіти, який її присвоїв.</w:t>
            </w:r>
          </w:p>
        </w:tc>
      </w:tr>
      <w:tr w:rsidR="00456AAA" w:rsidRPr="0039158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  <w:t>8.1 Типи закладів вищої освіти та їх статус</w:t>
            </w:r>
          </w:p>
        </w:tc>
      </w:tr>
      <w:tr w:rsidR="00456AAA" w:rsidRPr="0039158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Підготовка в системі вищої освіти України здійснюється у таких закладах вищої освіти: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університет -  багатогалузевий або галузевий заклад вищої освіти, що здійснює підготовку фахівців з вищою освітою за різними ступенями вищої освіти (у тому числі доктора філософії), проводить фундаментальні та / або прикладні наукові дослідження;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академії та інститути - галузеві заклади вищої освіти, що здійснюють підготовку фахівців з вищою освітою на першому (бакалаврському) і другому (магістерському) рівнях вищої освіти за однією чи кількома галузями знань та на третьому і вищому науковому рівнях вищої освіти за певними спеціальностями, проводять фундаментальні та / або прикладні наукові дослідження;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bookmarkStart w:id="6" w:name="n446"/>
            <w:bookmarkEnd w:id="6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коледж - заклад вищої освіти або структурний підрозділ університету, академії чи інституту, що здійснює підготовку фахівців з вищою освітою за ступенями вищої освіти бакалавра та/або молодшого бакалавра, проводить прикладні наукові дослідження та/або творчу мистецьку діяльність.</w:t>
            </w:r>
            <w:bookmarkStart w:id="7" w:name="n1775"/>
            <w:bookmarkStart w:id="8" w:name="n447"/>
            <w:bookmarkEnd w:id="7"/>
            <w:bookmarkEnd w:id="8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Статус коледжу отримує заклад освіти (структурний підрозділ закладу освіти), в якому обсяг підготовки здобувачів вищої освіти ступеня бакалавра та / або молодшого бакалавра становить не менше 30 відсотків загального ліцензованого обсягу коледжу.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Статус національного закладу вищої освіти є почесним, надається за визначний внесок у розвиток вищої освіти, науки та культури України та відображається в найменуванні закладу вищої освіти. </w:t>
            </w:r>
          </w:p>
        </w:tc>
      </w:tr>
      <w:tr w:rsidR="00456AAA" w:rsidRPr="0039158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uk-UA" w:eastAsia="uk-UA"/>
              </w:rPr>
              <w:t xml:space="preserve">8.2  Освітні програми та присвоєні ступені вищої освіти </w:t>
            </w:r>
          </w:p>
        </w:tc>
      </w:tr>
      <w:tr w:rsidR="00456AAA" w:rsidRPr="00391582" w:rsidTr="00456AAA">
        <w:trPr>
          <w:gridAfter w:val="1"/>
          <w:wAfter w:w="5211" w:type="dxa"/>
        </w:trPr>
        <w:tc>
          <w:tcPr>
            <w:tcW w:w="5001" w:type="dxa"/>
            <w:gridSpan w:val="2"/>
            <w:tcBorders>
              <w:right w:val="single" w:sz="4" w:space="0" w:color="auto"/>
            </w:tcBorders>
          </w:tcPr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З 2002 року підготовка в системі вищої освіти України здійснювалась за освітніми програмами, що завершувались присудженням ступеня молодшого спеціаліста (неповна </w:t>
            </w: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вища освіта), ступеня бакалавра (базова вища освіта), ступеня спеціаліста (повна вища освіта) та ступеня магістра (повна вища освіта).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У 2005 році Україна приєдналася до Болонського процесу і розпочала запровадження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трирівневої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системи вищої освіти (бакалавр, магістр та доктор філософії). Після прийняття у 2014 році Закону України «Про вищу освіту»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трирівневу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систему поступово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імплементовано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до освітніх програм закладів вищої освіти. Ця зміна забезпечила більшу різноманітність та гнучкість для осіб, які бажають здобувати вищу освіту, у плануванні та реалізації індивідуальних освітніх траєкторій, а також слугувала підвищенню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порівнюваності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освітнього процесу в Україні та інших країнах Європейського простору вищої освіти. При цьому, невід’ємним складником системи вищої освіти України залишається початковий рівень (короткий цикл) вищої освіти.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Підготовка на рівнях вищої освіти здійснюється за освітніми програми академічного і професійного спрямування. Освітні програми розробляються і затверджуються закладами вищої освіти (науковими установами) самостійно з урахуванням вимог до відповідного рівня вищої освіти, встановлених законодавством та стандартами вищої освіти за рівнями вищої освіти в межах кожної спеціальності. </w:t>
            </w:r>
          </w:p>
          <w:p w:rsidR="00456AAA" w:rsidRPr="008774C2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Стандарти вищої освіти розробляються відповідно до </w:t>
            </w:r>
            <w:hyperlink r:id="rId4" w:anchor="n12" w:tgtFrame="_blank" w:history="1">
              <w:r w:rsidRPr="008774C2">
                <w:rPr>
                  <w:rFonts w:ascii="Times New Roman" w:eastAsia="Times New Roman" w:hAnsi="Times New Roman" w:cs="Times New Roman"/>
                  <w:color w:val="000000"/>
                  <w:sz w:val="18"/>
                  <w:szCs w:val="18"/>
                  <w:lang w:val="uk-UA" w:eastAsia="uk-UA"/>
                </w:rPr>
                <w:t>Національної рамки кваліфікацій</w:t>
              </w:r>
            </w:hyperlink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, яка включає опис кваліфікаційних рівнів та рівнів/ступенів системи освіти України і гармонізована з   Європейською рамкою кваліфікацій для навчання впродовж життя та Рамкою кваліфікацій Європейського простору вищої освіти.</w:t>
            </w:r>
          </w:p>
          <w:p w:rsidR="00456AAA" w:rsidRDefault="00456AAA" w:rsidP="00456AAA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 Підготовка фахівців з вищою освітою здійснюється на  початковому рівні вищої освіти (короткий цикл), першому (бакалаврському) рівні, другому (магістерському) рівні та третьому (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-науковому /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освітньо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-творчому) рівні та завершується присудженням ступенів вищої освіти: молодший бакалавр, бакалавр, магістр, доктор філософії / доктор мистецтва.</w:t>
            </w:r>
          </w:p>
          <w:p w:rsidR="00103751" w:rsidRPr="008774C2" w:rsidRDefault="00103751" w:rsidP="00103751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Останній прийом на здобуття вищої освіти за освітньо-кваліфікаційним рівнем молодшого спеціаліста проводився у 2019 році. Диплом про вищу освіту за освітньо-кваліфікаційним рівнем молодшого спеціаліста  після  набрання чинності Закону України «Про вищу освіту» 06 вересня 2014 року прирівнюється до диплома про вищу освіту за освітньо-професійним ступенем молодшого бакалавра. Особи, які розпочали навчання за програмою підготовки молодшого спеціаліста до 2019 року включно, у разі успішного завершення навчання отримують диплом молодшого спеціаліста, який прирівнюється до диплома молодшого бакалавра. </w:t>
            </w:r>
          </w:p>
          <w:p w:rsidR="00103751" w:rsidRPr="008774C2" w:rsidRDefault="00103751" w:rsidP="00103751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Останній прийом на здобуття освітньо-кваліфікаційного рівня спеціаліста проводився у 2016 році. Вища освіта за освітньо-кваліфікаційним рівнем спеціаліста після  набрання чинності Закону України «Про вищу освіту» 06 вересня 2014 року прирівнюється до вищої освіти ступеня магістра. </w:t>
            </w:r>
          </w:p>
          <w:p w:rsidR="00103751" w:rsidRPr="008774C2" w:rsidRDefault="00103751" w:rsidP="00103751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Науковий ступінь кандидата наук після набрання чинності Закону України «Про вищу освіту» 06 вересня 2014 року прирівнюється до наукового ступеня доктора філософії. </w:t>
            </w:r>
          </w:p>
          <w:p w:rsidR="00103751" w:rsidRPr="008774C2" w:rsidRDefault="00103751" w:rsidP="00103751">
            <w:pPr>
              <w:spacing w:line="228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З метою надання, визнання, підтвердження кваліфікацій та освітніх компонентів, а також сприяння академічній мобільності здобувачів вищої освіти у системі вищої освіти України запроваджено Європейську кредитну </w:t>
            </w:r>
            <w:proofErr w:type="spellStart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>трансферно</w:t>
            </w:r>
            <w:proofErr w:type="spellEnd"/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t xml:space="preserve">-накопичувальну систему (ЄКТС). Обсяг одного кредиту ЄКТС становить 30 годин. </w:t>
            </w:r>
          </w:p>
          <w:p w:rsidR="00103751" w:rsidRPr="008774C2" w:rsidRDefault="00103751" w:rsidP="00103751">
            <w:pPr>
              <w:spacing w:line="240" w:lineRule="auto"/>
              <w:ind w:right="170" w:firstLine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</w:pPr>
            <w:r w:rsidRPr="008774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uk-UA"/>
              </w:rPr>
              <w:lastRenderedPageBreak/>
              <w:t xml:space="preserve">Детальна інформація подана у параграфах 8.4.1, 8.4.2, 8.4.3, 8.4.4, 8.4.5, 8.4.6. відповідно. Діаграма 1 надає узагальнююче резюме.  </w:t>
            </w:r>
            <w:bookmarkStart w:id="9" w:name="_GoBack"/>
            <w:bookmarkEnd w:id="9"/>
          </w:p>
        </w:tc>
      </w:tr>
    </w:tbl>
    <w:p w:rsidR="005146EF" w:rsidRDefault="005146EF">
      <w:pPr>
        <w:rPr>
          <w:lang w:val="uk-UA"/>
        </w:rPr>
      </w:pPr>
    </w:p>
    <w:p w:rsidR="00103751" w:rsidRDefault="00103751">
      <w:pPr>
        <w:rPr>
          <w:lang w:val="uk-UA"/>
        </w:rPr>
      </w:pPr>
    </w:p>
    <w:p w:rsidR="00456AAA" w:rsidRPr="00456AAA" w:rsidRDefault="00456AAA">
      <w:pPr>
        <w:rPr>
          <w:lang w:val="ru-RU"/>
        </w:rPr>
      </w:pPr>
      <w:r w:rsidRPr="002C2819">
        <w:rPr>
          <w:b/>
          <w:highlight w:val="yellow"/>
        </w:rPr>
        <w:t>Deadline:</w:t>
      </w:r>
      <w:r>
        <w:rPr>
          <w:b/>
          <w:highlight w:val="yellow"/>
          <w:lang w:val="ru-RU"/>
        </w:rPr>
        <w:t xml:space="preserve"> </w:t>
      </w:r>
      <w:r w:rsidR="00391582">
        <w:rPr>
          <w:b/>
          <w:highlight w:val="yellow"/>
          <w:lang w:val="ru-RU"/>
        </w:rPr>
        <w:t>11</w:t>
      </w:r>
      <w:r w:rsidRPr="00456AAA">
        <w:rPr>
          <w:b/>
          <w:highlight w:val="yellow"/>
          <w:lang w:val="ru-RU"/>
        </w:rPr>
        <w:t>.05.22</w:t>
      </w:r>
    </w:p>
    <w:sectPr w:rsidR="00456AAA" w:rsidRPr="00456A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38"/>
    <w:rsid w:val="00103751"/>
    <w:rsid w:val="00391582"/>
    <w:rsid w:val="00456AAA"/>
    <w:rsid w:val="005146EF"/>
    <w:rsid w:val="00CC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55A9"/>
  <w15:chartTrackingRefBased/>
  <w15:docId w15:val="{B3669A62-0CF6-490A-85ED-5AC5BF45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AAA"/>
    <w:pPr>
      <w:spacing w:after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341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2022-04-28T10:43:00Z</dcterms:created>
  <dcterms:modified xsi:type="dcterms:W3CDTF">2022-05-02T10:33:00Z</dcterms:modified>
</cp:coreProperties>
</file>