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72" w:rsidRDefault="00B00F72">
      <w:pPr>
        <w:pBdr>
          <w:top w:val="nil"/>
          <w:left w:val="nil"/>
          <w:bottom w:val="nil"/>
          <w:right w:val="nil"/>
          <w:between w:val="nil"/>
        </w:pBdr>
        <w:spacing w:line="276" w:lineRule="auto"/>
        <w:rPr>
          <w:color w:val="000000"/>
        </w:rPr>
      </w:pPr>
      <w:bookmarkStart w:id="0" w:name="_GoBack"/>
      <w:bookmarkEnd w:id="0"/>
    </w:p>
    <w:tbl>
      <w:tblPr>
        <w:tblStyle w:val="af4"/>
        <w:tblW w:w="9909" w:type="dxa"/>
        <w:tblInd w:w="156" w:type="dxa"/>
        <w:tblLayout w:type="fixed"/>
        <w:tblLook w:val="0000" w:firstRow="0" w:lastRow="0" w:firstColumn="0" w:lastColumn="0" w:noHBand="0" w:noVBand="0"/>
      </w:tblPr>
      <w:tblGrid>
        <w:gridCol w:w="4097"/>
        <w:gridCol w:w="5812"/>
      </w:tblGrid>
      <w:tr w:rsidR="00B00F72" w:rsidRPr="00157B16">
        <w:trPr>
          <w:trHeight w:val="683"/>
        </w:trPr>
        <w:tc>
          <w:tcPr>
            <w:tcW w:w="4097" w:type="dxa"/>
            <w:vMerge w:val="restart"/>
          </w:tcPr>
          <w:p w:rsidR="00B00F72" w:rsidRPr="00157B16" w:rsidRDefault="00157B16">
            <w:pPr>
              <w:pBdr>
                <w:top w:val="nil"/>
                <w:left w:val="nil"/>
                <w:bottom w:val="nil"/>
                <w:right w:val="nil"/>
                <w:between w:val="nil"/>
              </w:pBdr>
              <w:ind w:left="-14"/>
              <w:rPr>
                <w:rFonts w:ascii="Times New Roman" w:eastAsia="Times New Roman" w:hAnsi="Times New Roman" w:cs="Times New Roman"/>
                <w:color w:val="000000"/>
                <w:sz w:val="20"/>
                <w:szCs w:val="20"/>
              </w:rPr>
            </w:pPr>
            <w:bookmarkStart w:id="1" w:name="_heading=h.gjdgxs" w:colFirst="0" w:colLast="0"/>
            <w:bookmarkEnd w:id="1"/>
            <w:r w:rsidRPr="00157B16">
              <w:rPr>
                <w:rFonts w:ascii="Times New Roman" w:eastAsia="Times New Roman" w:hAnsi="Times New Roman" w:cs="Times New Roman"/>
                <w:noProof/>
                <w:color w:val="000000"/>
                <w:sz w:val="20"/>
                <w:szCs w:val="20"/>
              </w:rPr>
              <w:drawing>
                <wp:inline distT="0" distB="0" distL="0" distR="0" wp14:anchorId="6D19FBBB" wp14:editId="18DB2CE6">
                  <wp:extent cx="2613999" cy="793535"/>
                  <wp:effectExtent l="0" t="0" r="0" b="0"/>
                  <wp:docPr id="2" name="image1.png" descr="C:\Users\Admin\AppData\Local\Temp\7zECE6F16A8\Логотип основний.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Temp\7zECE6F16A8\Логотип основний.png"/>
                          <pic:cNvPicPr preferRelativeResize="0"/>
                        </pic:nvPicPr>
                        <pic:blipFill>
                          <a:blip r:embed="rId8"/>
                          <a:srcRect/>
                          <a:stretch>
                            <a:fillRect/>
                          </a:stretch>
                        </pic:blipFill>
                        <pic:spPr>
                          <a:xfrm>
                            <a:off x="0" y="0"/>
                            <a:ext cx="2613999" cy="793535"/>
                          </a:xfrm>
                          <a:prstGeom prst="rect">
                            <a:avLst/>
                          </a:prstGeom>
                          <a:ln/>
                        </pic:spPr>
                      </pic:pic>
                    </a:graphicData>
                  </a:graphic>
                </wp:inline>
              </w:drawing>
            </w:r>
          </w:p>
        </w:tc>
        <w:tc>
          <w:tcPr>
            <w:tcW w:w="5812" w:type="dxa"/>
          </w:tcPr>
          <w:p w:rsidR="00B00F72" w:rsidRPr="00157B16" w:rsidRDefault="00157B16">
            <w:pPr>
              <w:pBdr>
                <w:top w:val="nil"/>
                <w:left w:val="nil"/>
                <w:bottom w:val="nil"/>
                <w:right w:val="nil"/>
                <w:between w:val="nil"/>
              </w:pBdr>
              <w:spacing w:line="900" w:lineRule="auto"/>
              <w:jc w:val="center"/>
              <w:rPr>
                <w:rFonts w:ascii="Calibri" w:eastAsia="Calibri" w:hAnsi="Calibri" w:cs="Calibri"/>
                <w:b/>
                <w:i/>
                <w:color w:val="000000"/>
                <w:sz w:val="48"/>
                <w:szCs w:val="48"/>
              </w:rPr>
            </w:pPr>
            <w:r w:rsidRPr="00157B16">
              <w:rPr>
                <w:rFonts w:ascii="Calibri" w:eastAsia="Calibri" w:hAnsi="Calibri" w:cs="Calibri"/>
                <w:b/>
                <w:i/>
                <w:color w:val="0E233D"/>
                <w:sz w:val="48"/>
                <w:szCs w:val="48"/>
              </w:rPr>
              <w:t>СИЛАБУС</w:t>
            </w:r>
          </w:p>
        </w:tc>
      </w:tr>
      <w:tr w:rsidR="00B00F72" w:rsidRPr="00157B16">
        <w:trPr>
          <w:trHeight w:val="1857"/>
        </w:trPr>
        <w:tc>
          <w:tcPr>
            <w:tcW w:w="4097" w:type="dxa"/>
            <w:vMerge/>
          </w:tcPr>
          <w:p w:rsidR="00B00F72" w:rsidRPr="00157B16" w:rsidRDefault="00B00F72">
            <w:pPr>
              <w:pBdr>
                <w:top w:val="nil"/>
                <w:left w:val="nil"/>
                <w:bottom w:val="nil"/>
                <w:right w:val="nil"/>
                <w:between w:val="nil"/>
              </w:pBdr>
              <w:spacing w:line="276" w:lineRule="auto"/>
              <w:rPr>
                <w:rFonts w:ascii="Calibri" w:eastAsia="Calibri" w:hAnsi="Calibri" w:cs="Calibri"/>
                <w:b/>
                <w:i/>
                <w:color w:val="000000"/>
                <w:sz w:val="48"/>
                <w:szCs w:val="48"/>
              </w:rPr>
            </w:pPr>
          </w:p>
        </w:tc>
        <w:tc>
          <w:tcPr>
            <w:tcW w:w="5812" w:type="dxa"/>
          </w:tcPr>
          <w:p w:rsidR="00B00F72" w:rsidRPr="00157B16" w:rsidRDefault="00B00F72">
            <w:pPr>
              <w:pBdr>
                <w:top w:val="nil"/>
                <w:left w:val="nil"/>
                <w:bottom w:val="nil"/>
                <w:right w:val="nil"/>
                <w:between w:val="nil"/>
              </w:pBdr>
              <w:rPr>
                <w:rFonts w:ascii="Times New Roman" w:eastAsia="Times New Roman" w:hAnsi="Times New Roman" w:cs="Times New Roman"/>
                <w:color w:val="000000"/>
                <w:sz w:val="20"/>
                <w:szCs w:val="20"/>
              </w:rPr>
            </w:pPr>
          </w:p>
          <w:p w:rsidR="00B00F72" w:rsidRPr="00157B16" w:rsidRDefault="00157B16" w:rsidP="00157B16">
            <w:pPr>
              <w:pBdr>
                <w:top w:val="nil"/>
                <w:left w:val="nil"/>
                <w:bottom w:val="nil"/>
                <w:right w:val="nil"/>
                <w:between w:val="nil"/>
              </w:pBdr>
              <w:ind w:left="306"/>
              <w:jc w:val="center"/>
              <w:rPr>
                <w:b/>
                <w:i/>
                <w:color w:val="000000"/>
                <w:sz w:val="36"/>
                <w:szCs w:val="36"/>
                <w:lang w:val="ru-RU"/>
              </w:rPr>
            </w:pPr>
            <w:r w:rsidRPr="00157B16">
              <w:rPr>
                <w:b/>
                <w:i/>
                <w:color w:val="365F91"/>
                <w:sz w:val="36"/>
                <w:szCs w:val="36"/>
              </w:rPr>
              <w:t>«Основи оподаткування суб’єктів господарювання»</w:t>
            </w:r>
            <w:r w:rsidRPr="00157B16">
              <w:rPr>
                <w:b/>
                <w:i/>
                <w:color w:val="365F91"/>
                <w:sz w:val="36"/>
                <w:szCs w:val="36"/>
                <w:lang w:val="ru-RU"/>
              </w:rPr>
              <w:t xml:space="preserve"> </w:t>
            </w:r>
          </w:p>
        </w:tc>
      </w:tr>
    </w:tbl>
    <w:p w:rsidR="00B00F72" w:rsidRPr="00157B16" w:rsidRDefault="00B00F72">
      <w:pPr>
        <w:pBdr>
          <w:top w:val="nil"/>
          <w:left w:val="nil"/>
          <w:bottom w:val="nil"/>
          <w:right w:val="nil"/>
          <w:between w:val="nil"/>
        </w:pBdr>
        <w:spacing w:line="276" w:lineRule="auto"/>
        <w:rPr>
          <w:b/>
          <w:i/>
          <w:color w:val="000000"/>
          <w:sz w:val="36"/>
          <w:szCs w:val="36"/>
          <w:highlight w:val="yellow"/>
        </w:rPr>
      </w:pPr>
    </w:p>
    <w:tbl>
      <w:tblPr>
        <w:tblStyle w:val="af5"/>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802"/>
        <w:gridCol w:w="4252"/>
        <w:gridCol w:w="3332"/>
      </w:tblGrid>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Тип</w:t>
            </w:r>
          </w:p>
        </w:tc>
        <w:tc>
          <w:tcPr>
            <w:tcW w:w="7584" w:type="dxa"/>
            <w:gridSpan w:val="2"/>
            <w:tcBorders>
              <w:top w:val="single" w:sz="12" w:space="0" w:color="4F81BD"/>
              <w:left w:val="single" w:sz="12" w:space="0" w:color="4F81BD"/>
              <w:bottom w:val="single" w:sz="12" w:space="0" w:color="4F81BD"/>
              <w:right w:val="single" w:sz="12" w:space="0" w:color="4F81BD"/>
            </w:tcBorders>
            <w:vAlign w:val="center"/>
          </w:tcPr>
          <w:p w:rsidR="00B00F72" w:rsidRPr="00157B16" w:rsidRDefault="00157B16">
            <w:pPr>
              <w:pBdr>
                <w:top w:val="nil"/>
                <w:left w:val="nil"/>
                <w:bottom w:val="nil"/>
                <w:right w:val="nil"/>
                <w:between w:val="nil"/>
              </w:pBdr>
              <w:spacing w:line="256" w:lineRule="auto"/>
              <w:ind w:left="282"/>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b/>
                <w:color w:val="000000"/>
                <w:sz w:val="24"/>
                <w:szCs w:val="24"/>
              </w:rPr>
              <w:t>Нормативна</w:t>
            </w:r>
          </w:p>
        </w:tc>
      </w:tr>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Рівень вищої освіти</w:t>
            </w:r>
          </w:p>
        </w:tc>
        <w:tc>
          <w:tcPr>
            <w:tcW w:w="7584" w:type="dxa"/>
            <w:gridSpan w:val="2"/>
            <w:tcBorders>
              <w:top w:val="single" w:sz="12" w:space="0" w:color="4F81BD"/>
              <w:left w:val="single" w:sz="12" w:space="0" w:color="4F81BD"/>
              <w:bottom w:val="nil"/>
              <w:right w:val="single" w:sz="12" w:space="0" w:color="4F81BD"/>
            </w:tcBorders>
          </w:tcPr>
          <w:p w:rsidR="00B00F72" w:rsidRPr="00157B16" w:rsidRDefault="00157B16">
            <w:pPr>
              <w:pBdr>
                <w:top w:val="nil"/>
                <w:left w:val="nil"/>
                <w:bottom w:val="nil"/>
                <w:right w:val="nil"/>
                <w:between w:val="nil"/>
              </w:pBdr>
              <w:spacing w:line="256" w:lineRule="auto"/>
              <w:ind w:left="282"/>
              <w:jc w:val="center"/>
              <w:rPr>
                <w:rFonts w:ascii="Times New Roman" w:eastAsia="Times New Roman" w:hAnsi="Times New Roman" w:cs="Times New Roman"/>
                <w:b/>
                <w:color w:val="000000"/>
                <w:sz w:val="24"/>
                <w:szCs w:val="24"/>
              </w:rPr>
            </w:pPr>
            <w:r w:rsidRPr="00157B16">
              <w:rPr>
                <w:rFonts w:ascii="Times New Roman" w:eastAsia="Times New Roman" w:hAnsi="Times New Roman" w:cs="Times New Roman"/>
                <w:b/>
                <w:color w:val="000000"/>
                <w:sz w:val="24"/>
                <w:szCs w:val="24"/>
              </w:rPr>
              <w:t>Початковий (короткий цикл)</w:t>
            </w:r>
          </w:p>
        </w:tc>
      </w:tr>
      <w:tr w:rsidR="00B00F72" w:rsidRPr="00157B16">
        <w:trPr>
          <w:trHeight w:val="138"/>
        </w:trPr>
        <w:tc>
          <w:tcPr>
            <w:tcW w:w="2802" w:type="dxa"/>
            <w:vMerge w:val="restart"/>
            <w:tcBorders>
              <w:top w:val="single" w:sz="12" w:space="0" w:color="4F81BD"/>
              <w:left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Рік навчання</w:t>
            </w:r>
          </w:p>
        </w:tc>
        <w:tc>
          <w:tcPr>
            <w:tcW w:w="4252" w:type="dxa"/>
            <w:tcBorders>
              <w:top w:val="single" w:sz="12" w:space="0" w:color="4F81BD"/>
              <w:left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Денна форма</w:t>
            </w:r>
          </w:p>
        </w:tc>
        <w:tc>
          <w:tcPr>
            <w:tcW w:w="3332" w:type="dxa"/>
            <w:tcBorders>
              <w:top w:val="single" w:sz="12" w:space="0" w:color="4F81BD"/>
              <w:left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Заочна форма</w:t>
            </w:r>
          </w:p>
        </w:tc>
      </w:tr>
      <w:tr w:rsidR="00B00F72" w:rsidRPr="00157B16">
        <w:trPr>
          <w:trHeight w:val="138"/>
        </w:trPr>
        <w:tc>
          <w:tcPr>
            <w:tcW w:w="2802" w:type="dxa"/>
            <w:vMerge/>
            <w:tcBorders>
              <w:top w:val="single" w:sz="12" w:space="0" w:color="4F81BD"/>
              <w:left w:val="single" w:sz="12" w:space="0" w:color="4F81BD"/>
              <w:right w:val="single" w:sz="12" w:space="0" w:color="4F81BD"/>
            </w:tcBorders>
            <w:shd w:val="clear" w:color="auto" w:fill="DBE5F1"/>
            <w:vAlign w:val="center"/>
          </w:tcPr>
          <w:p w:rsidR="00B00F72" w:rsidRPr="00157B16" w:rsidRDefault="00B00F7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Borders>
              <w:left w:val="single" w:sz="12" w:space="0" w:color="4F81BD"/>
              <w:bottom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2</w:t>
            </w:r>
          </w:p>
        </w:tc>
        <w:tc>
          <w:tcPr>
            <w:tcW w:w="3332" w:type="dxa"/>
            <w:tcBorders>
              <w:left w:val="single" w:sz="12" w:space="0" w:color="4F81BD"/>
              <w:bottom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2</w:t>
            </w:r>
          </w:p>
        </w:tc>
      </w:tr>
      <w:tr w:rsidR="00B00F72" w:rsidRPr="00157B16">
        <w:trPr>
          <w:trHeight w:val="138"/>
        </w:trPr>
        <w:tc>
          <w:tcPr>
            <w:tcW w:w="2802" w:type="dxa"/>
            <w:vMerge w:val="restart"/>
            <w:tcBorders>
              <w:top w:val="single" w:sz="12" w:space="0" w:color="4F81BD"/>
              <w:left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Семестр</w:t>
            </w:r>
          </w:p>
        </w:tc>
        <w:tc>
          <w:tcPr>
            <w:tcW w:w="4252" w:type="dxa"/>
            <w:tcBorders>
              <w:top w:val="single" w:sz="12" w:space="0" w:color="4F81BD"/>
              <w:left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Денна форма</w:t>
            </w:r>
          </w:p>
        </w:tc>
        <w:tc>
          <w:tcPr>
            <w:tcW w:w="3332" w:type="dxa"/>
            <w:tcBorders>
              <w:top w:val="single" w:sz="12" w:space="0" w:color="4F81BD"/>
              <w:left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Заочна форма</w:t>
            </w:r>
          </w:p>
        </w:tc>
      </w:tr>
      <w:tr w:rsidR="00B00F72" w:rsidRPr="00157B16">
        <w:trPr>
          <w:trHeight w:val="138"/>
        </w:trPr>
        <w:tc>
          <w:tcPr>
            <w:tcW w:w="2802" w:type="dxa"/>
            <w:vMerge/>
            <w:tcBorders>
              <w:top w:val="single" w:sz="12" w:space="0" w:color="4F81BD"/>
              <w:left w:val="single" w:sz="12" w:space="0" w:color="4F81BD"/>
              <w:right w:val="single" w:sz="12" w:space="0" w:color="4F81BD"/>
            </w:tcBorders>
            <w:shd w:val="clear" w:color="auto" w:fill="DBE5F1"/>
            <w:vAlign w:val="center"/>
          </w:tcPr>
          <w:p w:rsidR="00B00F72" w:rsidRPr="00157B16" w:rsidRDefault="00B00F7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Borders>
              <w:left w:val="single" w:sz="12" w:space="0" w:color="4F81BD"/>
              <w:bottom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lang w:val="en-US"/>
              </w:rPr>
            </w:pPr>
            <w:r w:rsidRPr="00157B16">
              <w:rPr>
                <w:rFonts w:ascii="Times New Roman" w:eastAsia="Times New Roman" w:hAnsi="Times New Roman" w:cs="Times New Roman"/>
                <w:sz w:val="24"/>
                <w:szCs w:val="24"/>
                <w:lang w:val="en-US"/>
              </w:rPr>
              <w:t>3</w:t>
            </w:r>
          </w:p>
        </w:tc>
        <w:tc>
          <w:tcPr>
            <w:tcW w:w="3332" w:type="dxa"/>
            <w:tcBorders>
              <w:left w:val="single" w:sz="12" w:space="0" w:color="4F81BD"/>
              <w:bottom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lang w:val="en-US"/>
              </w:rPr>
            </w:pPr>
            <w:r w:rsidRPr="00157B16">
              <w:rPr>
                <w:rFonts w:ascii="Times New Roman" w:eastAsia="Times New Roman" w:hAnsi="Times New Roman" w:cs="Times New Roman"/>
                <w:sz w:val="24"/>
                <w:szCs w:val="24"/>
                <w:lang w:val="en-US"/>
              </w:rPr>
              <w:t>4</w:t>
            </w:r>
          </w:p>
        </w:tc>
      </w:tr>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Кількість кредитів</w:t>
            </w:r>
          </w:p>
        </w:tc>
        <w:tc>
          <w:tcPr>
            <w:tcW w:w="7584" w:type="dxa"/>
            <w:gridSpan w:val="2"/>
            <w:tcBorders>
              <w:top w:val="single" w:sz="12" w:space="0" w:color="4F81BD"/>
              <w:left w:val="single" w:sz="12" w:space="0" w:color="4F81BD"/>
              <w:bottom w:val="single" w:sz="12" w:space="0" w:color="4F81BD"/>
              <w:right w:val="single" w:sz="12" w:space="0" w:color="4F81BD"/>
            </w:tcBorders>
          </w:tcPr>
          <w:p w:rsidR="00B00F72" w:rsidRPr="00157B16" w:rsidRDefault="00157B16">
            <w:pPr>
              <w:jc w:val="center"/>
              <w:rPr>
                <w:rFonts w:ascii="Times New Roman" w:eastAsia="Times New Roman" w:hAnsi="Times New Roman" w:cs="Times New Roman"/>
                <w:sz w:val="24"/>
                <w:szCs w:val="24"/>
                <w:lang w:val="en-US"/>
              </w:rPr>
            </w:pPr>
            <w:r w:rsidRPr="00157B16">
              <w:rPr>
                <w:rFonts w:ascii="Times New Roman" w:eastAsia="Times New Roman" w:hAnsi="Times New Roman" w:cs="Times New Roman"/>
                <w:sz w:val="24"/>
                <w:szCs w:val="24"/>
                <w:lang w:val="en-US"/>
              </w:rPr>
              <w:t>3</w:t>
            </w:r>
          </w:p>
        </w:tc>
      </w:tr>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b/>
                <w:sz w:val="28"/>
                <w:szCs w:val="28"/>
              </w:rPr>
            </w:pPr>
            <w:r w:rsidRPr="00157B16">
              <w:rPr>
                <w:rFonts w:ascii="Times New Roman" w:eastAsia="Times New Roman" w:hAnsi="Times New Roman" w:cs="Times New Roman"/>
                <w:b/>
                <w:sz w:val="28"/>
                <w:szCs w:val="28"/>
              </w:rPr>
              <w:t>Мова викладання</w:t>
            </w:r>
          </w:p>
        </w:tc>
        <w:tc>
          <w:tcPr>
            <w:tcW w:w="7584" w:type="dxa"/>
            <w:gridSpan w:val="2"/>
            <w:tcBorders>
              <w:top w:val="single" w:sz="12" w:space="0" w:color="4F81BD"/>
              <w:left w:val="single" w:sz="12" w:space="0" w:color="4F81BD"/>
              <w:bottom w:val="single" w:sz="12" w:space="0" w:color="4F81BD"/>
              <w:right w:val="single" w:sz="12" w:space="0" w:color="4F81BD"/>
            </w:tcBorders>
          </w:tcPr>
          <w:p w:rsidR="00B00F72" w:rsidRPr="00157B16" w:rsidRDefault="00157B16">
            <w:pPr>
              <w:pBdr>
                <w:top w:val="nil"/>
                <w:left w:val="nil"/>
                <w:bottom w:val="nil"/>
                <w:right w:val="nil"/>
                <w:between w:val="nil"/>
              </w:pBdr>
              <w:spacing w:line="256" w:lineRule="auto"/>
              <w:ind w:left="282"/>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українська</w:t>
            </w:r>
          </w:p>
        </w:tc>
      </w:tr>
    </w:tbl>
    <w:p w:rsidR="00B00F72" w:rsidRPr="00157B16" w:rsidRDefault="00B00F72">
      <w:pPr>
        <w:rPr>
          <w:highlight w:val="yellow"/>
        </w:rPr>
      </w:pPr>
    </w:p>
    <w:tbl>
      <w:tblPr>
        <w:tblStyle w:val="af6"/>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802"/>
        <w:gridCol w:w="7584"/>
      </w:tblGrid>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Викладачі</w:t>
            </w:r>
          </w:p>
        </w:tc>
        <w:tc>
          <w:tcPr>
            <w:tcW w:w="7584" w:type="dxa"/>
            <w:tcBorders>
              <w:top w:val="single" w:sz="12" w:space="0" w:color="4F81BD"/>
              <w:left w:val="single" w:sz="12" w:space="0" w:color="4F81BD"/>
              <w:bottom w:val="single" w:sz="12" w:space="0" w:color="4F81BD"/>
              <w:right w:val="single" w:sz="12" w:space="0" w:color="4F81BD"/>
            </w:tcBorders>
          </w:tcPr>
          <w:p w:rsidR="00B00F72" w:rsidRPr="00157B16" w:rsidRDefault="00157B16" w:rsidP="00157B16">
            <w:pPr>
              <w:ind w:left="141"/>
              <w:rPr>
                <w:rFonts w:ascii="Times New Roman" w:eastAsia="Times New Roman" w:hAnsi="Times New Roman" w:cs="Times New Roman"/>
                <w:sz w:val="24"/>
                <w:szCs w:val="24"/>
              </w:rPr>
            </w:pPr>
            <w:proofErr w:type="spellStart"/>
            <w:r w:rsidRPr="00157B16">
              <w:rPr>
                <w:rFonts w:ascii="Times New Roman" w:eastAsia="Times New Roman" w:hAnsi="Times New Roman" w:cs="Times New Roman"/>
                <w:sz w:val="24"/>
                <w:szCs w:val="24"/>
              </w:rPr>
              <w:t>д.е.н</w:t>
            </w:r>
            <w:proofErr w:type="spellEnd"/>
            <w:r w:rsidRPr="00157B16">
              <w:rPr>
                <w:rFonts w:ascii="Times New Roman" w:eastAsia="Times New Roman" w:hAnsi="Times New Roman" w:cs="Times New Roman"/>
                <w:sz w:val="24"/>
                <w:szCs w:val="24"/>
              </w:rPr>
              <w:t xml:space="preserve">., проф. </w:t>
            </w:r>
            <w:r w:rsidRPr="00157B16">
              <w:rPr>
                <w:rFonts w:ascii="Times New Roman" w:eastAsia="Times New Roman" w:hAnsi="Times New Roman" w:cs="Times New Roman"/>
                <w:sz w:val="24"/>
                <w:szCs w:val="24"/>
                <w:lang w:val="ru-RU"/>
              </w:rPr>
              <w:t>Лаговська О.А.</w:t>
            </w:r>
            <w:r w:rsidRPr="00157B16">
              <w:rPr>
                <w:rFonts w:ascii="Times New Roman" w:eastAsia="Times New Roman" w:hAnsi="Times New Roman" w:cs="Times New Roman"/>
                <w:sz w:val="24"/>
                <w:szCs w:val="24"/>
              </w:rPr>
              <w:t xml:space="preserve"> </w:t>
            </w:r>
          </w:p>
        </w:tc>
      </w:tr>
      <w:tr w:rsidR="00B00F72" w:rsidRPr="00157B16">
        <w:tc>
          <w:tcPr>
            <w:tcW w:w="2802"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157B16" w:rsidRDefault="00157B16">
            <w:pPr>
              <w:rPr>
                <w:rFonts w:ascii="Times New Roman" w:eastAsia="Times New Roman" w:hAnsi="Times New Roman" w:cs="Times New Roman"/>
                <w:sz w:val="28"/>
                <w:szCs w:val="28"/>
              </w:rPr>
            </w:pPr>
            <w:r w:rsidRPr="00157B16">
              <w:rPr>
                <w:rFonts w:ascii="Times New Roman" w:eastAsia="Times New Roman" w:hAnsi="Times New Roman" w:cs="Times New Roman"/>
                <w:b/>
                <w:sz w:val="28"/>
                <w:szCs w:val="28"/>
              </w:rPr>
              <w:t>Контактна інформація</w:t>
            </w:r>
          </w:p>
        </w:tc>
        <w:tc>
          <w:tcPr>
            <w:tcW w:w="7584" w:type="dxa"/>
            <w:tcBorders>
              <w:top w:val="single" w:sz="12" w:space="0" w:color="4F81BD"/>
              <w:left w:val="single" w:sz="12" w:space="0" w:color="4F81BD"/>
              <w:bottom w:val="single" w:sz="12" w:space="0" w:color="4F81BD"/>
              <w:right w:val="single" w:sz="12" w:space="0" w:color="4F81BD"/>
            </w:tcBorders>
            <w:vAlign w:val="center"/>
          </w:tcPr>
          <w:p w:rsidR="00B00F72" w:rsidRPr="00157B16" w:rsidRDefault="00157B16">
            <w:pPr>
              <w:ind w:left="141"/>
              <w:rPr>
                <w:rFonts w:ascii="Times New Roman" w:eastAsia="Times New Roman" w:hAnsi="Times New Roman" w:cs="Times New Roman"/>
              </w:rPr>
            </w:pPr>
            <w:r w:rsidRPr="00157B16">
              <w:fldChar w:fldCharType="begin"/>
            </w:r>
            <w:r w:rsidRPr="00157B16">
              <w:instrText xml:space="preserve"> HYPERLINK "https://ztu.edu.ua/ua/structure/faculties/fbso/teachers_bok.php" \h </w:instrText>
            </w:r>
            <w:r w:rsidRPr="00157B16">
              <w:fldChar w:fldCharType="separate"/>
            </w:r>
            <w:r w:rsidRPr="00157B16">
              <w:rPr>
                <w:rFonts w:ascii="Times New Roman" w:eastAsia="Times New Roman" w:hAnsi="Times New Roman" w:cs="Times New Roman"/>
                <w:color w:val="0000FF"/>
                <w:u w:val="single"/>
              </w:rPr>
              <w:t>https://ztu.edu.ua/ua/structure/faculties/fbso/teachers_bok.php</w:t>
            </w:r>
            <w:r w:rsidRPr="00157B16">
              <w:rPr>
                <w:rFonts w:ascii="Times New Roman" w:eastAsia="Times New Roman" w:hAnsi="Times New Roman" w:cs="Times New Roman"/>
                <w:color w:val="0000FF"/>
                <w:u w:val="single"/>
              </w:rPr>
              <w:fldChar w:fldCharType="end"/>
            </w:r>
          </w:p>
          <w:p w:rsidR="00B00F72" w:rsidRPr="00157B16" w:rsidRDefault="00157B16" w:rsidP="00157B16">
            <w:pPr>
              <w:ind w:left="141"/>
              <w:rPr>
                <w:rFonts w:ascii="Times New Roman" w:eastAsia="Times New Roman" w:hAnsi="Times New Roman" w:cs="Times New Roman"/>
                <w:b/>
                <w:sz w:val="24"/>
                <w:szCs w:val="24"/>
              </w:rPr>
            </w:pPr>
            <w:r w:rsidRPr="00157B16">
              <w:rPr>
                <w:rFonts w:ascii="Times New Roman" w:eastAsia="Times New Roman" w:hAnsi="Times New Roman" w:cs="Times New Roman"/>
                <w:color w:val="0000FF"/>
                <w:u w:val="single"/>
              </w:rPr>
              <w:t>e-</w:t>
            </w:r>
            <w:proofErr w:type="spellStart"/>
            <w:r w:rsidRPr="00157B16">
              <w:rPr>
                <w:rFonts w:ascii="Times New Roman" w:eastAsia="Times New Roman" w:hAnsi="Times New Roman" w:cs="Times New Roman"/>
                <w:color w:val="0000FF"/>
                <w:u w:val="single"/>
              </w:rPr>
              <w:t>mail</w:t>
            </w:r>
            <w:proofErr w:type="spellEnd"/>
            <w:r w:rsidRPr="00157B16">
              <w:rPr>
                <w:rFonts w:ascii="Times New Roman" w:eastAsia="Times New Roman" w:hAnsi="Times New Roman" w:cs="Times New Roman"/>
                <w:color w:val="0000FF"/>
                <w:u w:val="single"/>
              </w:rPr>
              <w:t xml:space="preserve">: </w:t>
            </w:r>
            <w:r w:rsidRPr="00157B16">
              <w:rPr>
                <w:rFonts w:ascii="Times New Roman" w:eastAsia="Times New Roman" w:hAnsi="Times New Roman" w:cs="Times New Roman"/>
                <w:color w:val="0000FF"/>
                <w:u w:val="single"/>
                <w:lang w:val="en-US"/>
              </w:rPr>
              <w:t>lagovskaya1@meta.ua</w:t>
            </w:r>
            <w:hyperlink r:id="rId9"/>
          </w:p>
        </w:tc>
      </w:tr>
    </w:tbl>
    <w:p w:rsidR="00B00F72" w:rsidRPr="00157B16" w:rsidRDefault="00B00F72">
      <w:pPr>
        <w:rPr>
          <w:highlight w:val="yellow"/>
        </w:rPr>
      </w:pPr>
    </w:p>
    <w:p w:rsidR="00B00F72" w:rsidRPr="00157B16" w:rsidRDefault="00157B16">
      <w:pPr>
        <w:jc w:val="center"/>
      </w:pPr>
      <w:r w:rsidRPr="00157B16">
        <w:rPr>
          <w:b/>
          <w:i/>
          <w:color w:val="365F91"/>
          <w:sz w:val="28"/>
          <w:szCs w:val="28"/>
        </w:rPr>
        <w:t>ЗАГАЛЬНА ІНФОРМАЦІЯ ПРО ДИСЦИПЛІНУ</w:t>
      </w:r>
    </w:p>
    <w:p w:rsidR="00B00F72" w:rsidRPr="00157B16" w:rsidRDefault="00B00F72">
      <w:pPr>
        <w:rPr>
          <w:highlight w:val="yellow"/>
        </w:rPr>
      </w:pPr>
    </w:p>
    <w:tbl>
      <w:tblPr>
        <w:tblStyle w:val="af7"/>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802"/>
        <w:gridCol w:w="2976"/>
        <w:gridCol w:w="2410"/>
        <w:gridCol w:w="2198"/>
      </w:tblGrid>
      <w:tr w:rsidR="00B00F72" w:rsidRPr="00157B16">
        <w:tc>
          <w:tcPr>
            <w:tcW w:w="2802" w:type="dxa"/>
            <w:tcBorders>
              <w:top w:val="single" w:sz="12" w:space="0" w:color="4F81BD"/>
              <w:left w:val="single" w:sz="12" w:space="0" w:color="4F81BD"/>
              <w:bottom w:val="single" w:sz="12" w:space="0" w:color="4F81BD"/>
            </w:tcBorders>
            <w:shd w:val="clear" w:color="auto" w:fill="DBE5F1"/>
            <w:vAlign w:val="center"/>
          </w:tcPr>
          <w:p w:rsidR="00B00F72" w:rsidRPr="00157B16" w:rsidRDefault="00157B16">
            <w:pPr>
              <w:spacing w:line="216" w:lineRule="auto"/>
              <w:rPr>
                <w:rFonts w:ascii="Times New Roman" w:eastAsia="Times New Roman" w:hAnsi="Times New Roman" w:cs="Times New Roman"/>
                <w:b/>
                <w:sz w:val="28"/>
                <w:szCs w:val="28"/>
                <w:highlight w:val="yellow"/>
              </w:rPr>
            </w:pPr>
            <w:r w:rsidRPr="00157B16">
              <w:rPr>
                <w:rFonts w:ascii="Times New Roman" w:eastAsia="Times New Roman" w:hAnsi="Times New Roman" w:cs="Times New Roman"/>
                <w:b/>
                <w:sz w:val="28"/>
                <w:szCs w:val="28"/>
                <w:highlight w:val="yellow"/>
              </w:rPr>
              <w:t>Вивчимо</w:t>
            </w:r>
          </w:p>
        </w:tc>
        <w:tc>
          <w:tcPr>
            <w:tcW w:w="7584" w:type="dxa"/>
            <w:gridSpan w:val="3"/>
            <w:tcBorders>
              <w:top w:val="single" w:sz="12" w:space="0" w:color="4F81BD"/>
              <w:bottom w:val="single" w:sz="12" w:space="0" w:color="4F81BD"/>
              <w:right w:val="single" w:sz="12" w:space="0" w:color="4F81BD"/>
            </w:tcBorders>
          </w:tcPr>
          <w:p w:rsidR="00157B16" w:rsidRPr="00157B16" w:rsidRDefault="00157B16" w:rsidP="00157B16">
            <w:pPr>
              <w:pStyle w:val="afc"/>
              <w:shd w:val="clear" w:color="auto" w:fill="FFFFFF"/>
              <w:spacing w:before="0" w:beforeAutospacing="0" w:after="0" w:afterAutospacing="0"/>
              <w:ind w:firstLine="567"/>
              <w:jc w:val="both"/>
            </w:pPr>
            <w:r w:rsidRPr="00157B16">
              <w:t>Метою навчальної дисципліни є формування  теоретичних та прикладних знань щодо оподаткування суб’єктів господарювання в Україні, в тому числі різних галузей економіки; впливу податкових платежів на діяльність суб’єктів господарювання, методів оцінки податкового навантаження вітчизняного підприємництва; пільгового та преференційного оподаткування суб’єктів господарювання.</w:t>
            </w:r>
          </w:p>
          <w:p w:rsidR="00157B16" w:rsidRPr="00157B16" w:rsidRDefault="00157B16" w:rsidP="00157B16">
            <w:pPr>
              <w:pStyle w:val="afc"/>
              <w:shd w:val="clear" w:color="auto" w:fill="FFFFFF"/>
              <w:spacing w:before="0" w:beforeAutospacing="0" w:after="0" w:afterAutospacing="0"/>
              <w:ind w:firstLine="567"/>
              <w:jc w:val="both"/>
              <w:rPr>
                <w:highlight w:val="yellow"/>
              </w:rPr>
            </w:pPr>
            <w:r w:rsidRPr="00157B16">
              <w:t>Завданнями вивчення навчальної дисципліни є: ознайомлення зі загальнотеоретичними засадами організації системи оподаткування суб’єкта господарювання; формування навичок аналізу впливу основних податкових платежів на діяльність вітчизняного підприємництва (непрямих податків, податку на прибуток підприємств, місцевих податків і зборів, платежів за ресурси тощо); вивчення особливостей пільгового оподаткування підприємств різних галузей економіки; розуміння сутності податкового навантаження та методів його оцінки на рівні суб’єкта господарювання</w:t>
            </w:r>
          </w:p>
        </w:tc>
      </w:tr>
      <w:tr w:rsidR="00B00F72" w:rsidRPr="00157B16">
        <w:tc>
          <w:tcPr>
            <w:tcW w:w="2802" w:type="dxa"/>
            <w:tcBorders>
              <w:top w:val="single" w:sz="12" w:space="0" w:color="4F81BD"/>
              <w:left w:val="single" w:sz="12" w:space="0" w:color="4F81BD"/>
              <w:bottom w:val="single" w:sz="12" w:space="0" w:color="4F81BD"/>
            </w:tcBorders>
            <w:shd w:val="clear" w:color="auto" w:fill="DBE5F1"/>
            <w:vAlign w:val="center"/>
          </w:tcPr>
          <w:p w:rsidR="00B00F72" w:rsidRPr="00157B16" w:rsidRDefault="00157B16">
            <w:pPr>
              <w:spacing w:line="216" w:lineRule="auto"/>
              <w:rPr>
                <w:rFonts w:ascii="Times New Roman" w:eastAsia="Times New Roman" w:hAnsi="Times New Roman" w:cs="Times New Roman"/>
                <w:b/>
                <w:sz w:val="28"/>
                <w:szCs w:val="28"/>
                <w:highlight w:val="yellow"/>
              </w:rPr>
            </w:pPr>
            <w:r w:rsidRPr="00157B16">
              <w:rPr>
                <w:rFonts w:ascii="Times New Roman" w:eastAsia="Times New Roman" w:hAnsi="Times New Roman" w:cs="Times New Roman"/>
                <w:b/>
                <w:sz w:val="28"/>
                <w:szCs w:val="28"/>
                <w:highlight w:val="yellow"/>
              </w:rPr>
              <w:t>Навчимося</w:t>
            </w:r>
          </w:p>
        </w:tc>
        <w:tc>
          <w:tcPr>
            <w:tcW w:w="7584" w:type="dxa"/>
            <w:gridSpan w:val="3"/>
            <w:tcBorders>
              <w:top w:val="single" w:sz="12" w:space="0" w:color="4F81BD"/>
              <w:bottom w:val="single" w:sz="12" w:space="0" w:color="1F497D"/>
              <w:right w:val="single" w:sz="12" w:space="0" w:color="4F81BD"/>
            </w:tcBorders>
          </w:tcPr>
          <w:p w:rsidR="00B00F72" w:rsidRPr="00157B16" w:rsidRDefault="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Зміст підготовки молодшого бакалавра, сформульований у термінах результатів навчання:</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ПР02. Розуміти місце і значення облікової, аналітичної,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ПР03. Визначати сутність об’єктів обліку, аналізу, оподаткування та розуміти їх роль і місце в господарській діяльності.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ПР04. Формувати й аналізувати фінансову, податкову і статистичну звітність підприємств та правильно інтерпретувати отриману інформацію для прийняття управлінських рішень.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ПР05. Володіти методичним інструментарієм обліку, аналізу та оподаткування господарської діяльності підприємств.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ПР06. Розуміти особливості практики здійснення обліку, аналізу та оподаткування діяльності підприємств різних форм власності, організаційно-правових форм господарювання та видів економічної діяльності.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ПР07. Розуміти організаційно-економічний механізм управління підприємством та оцінювати ефективність прийняття рішень з використанням обліково-аналітичної інформації.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ПР08. Визначати напрями підвищення ефективності формування фінансових ресурсів та їх розподілу на рівні підприємств різних організаційно-правових форм власності.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ПР09. Вміти застосовувати економіко-математичні методи в обраній професії.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ПР10. Володіти загальнонауковими та спеціальними методами дослідження соціально-економічних явищ і господарських процесів на підприємстві.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ПР11. Володіти та застосовувати знання державної та іноземної мови для формування ділових паперів і спілкування у професійній діяльності.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ПР12. 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ПР14. Виконувати професійні функції з урахуванням вимог соціальної відповідальності, трудової дисципліни, вміти планувати та управляти часом.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ПР15.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ПР16. Розуміти і реалізувати свої права і обов’язки як члена суспільства, усвідомлювати цінності вільного демократичного суспільства, верховенства права, прав і свобод людини і громадянина в Україні. </w:t>
            </w:r>
          </w:p>
          <w:p w:rsidR="00157B16" w:rsidRPr="00157B16" w:rsidRDefault="00157B16" w:rsidP="00157B16">
            <w:pPr>
              <w:ind w:firstLine="317"/>
              <w:jc w:val="both"/>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ПР17. 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tc>
      </w:tr>
      <w:tr w:rsidR="00B00F72" w:rsidRPr="00157B16">
        <w:trPr>
          <w:trHeight w:val="95"/>
        </w:trPr>
        <w:tc>
          <w:tcPr>
            <w:tcW w:w="2802" w:type="dxa"/>
            <w:vMerge w:val="restart"/>
            <w:tcBorders>
              <w:top w:val="single" w:sz="12" w:space="0" w:color="4F81BD"/>
              <w:left w:val="single" w:sz="12" w:space="0" w:color="4F81BD"/>
            </w:tcBorders>
            <w:shd w:val="clear" w:color="auto" w:fill="DBE5F1"/>
            <w:vAlign w:val="center"/>
          </w:tcPr>
          <w:p w:rsidR="00B00F72" w:rsidRPr="00157B16" w:rsidRDefault="00157B16">
            <w:pPr>
              <w:rPr>
                <w:rFonts w:ascii="Times New Roman" w:eastAsia="Times New Roman" w:hAnsi="Times New Roman" w:cs="Times New Roman"/>
                <w:b/>
                <w:sz w:val="28"/>
                <w:szCs w:val="28"/>
              </w:rPr>
            </w:pPr>
            <w:r w:rsidRPr="00157B16">
              <w:rPr>
                <w:rFonts w:ascii="Times New Roman" w:eastAsia="Times New Roman" w:hAnsi="Times New Roman" w:cs="Times New Roman"/>
                <w:b/>
                <w:sz w:val="28"/>
                <w:szCs w:val="28"/>
              </w:rPr>
              <w:lastRenderedPageBreak/>
              <w:t>Види робіт</w:t>
            </w:r>
          </w:p>
        </w:tc>
        <w:tc>
          <w:tcPr>
            <w:tcW w:w="2976" w:type="dxa"/>
            <w:tcBorders>
              <w:top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i/>
                <w:sz w:val="24"/>
                <w:szCs w:val="24"/>
              </w:rPr>
              <w:t>Види занять</w:t>
            </w:r>
          </w:p>
        </w:tc>
        <w:tc>
          <w:tcPr>
            <w:tcW w:w="2410" w:type="dxa"/>
            <w:tcBorders>
              <w:top w:val="single" w:sz="12" w:space="0" w:color="1F497D"/>
              <w:left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i/>
                <w:sz w:val="24"/>
                <w:szCs w:val="24"/>
              </w:rPr>
            </w:pPr>
            <w:r w:rsidRPr="00157B16">
              <w:rPr>
                <w:rFonts w:ascii="Times New Roman" w:eastAsia="Times New Roman" w:hAnsi="Times New Roman" w:cs="Times New Roman"/>
                <w:i/>
                <w:sz w:val="24"/>
                <w:szCs w:val="24"/>
              </w:rPr>
              <w:t>Денна форма,</w:t>
            </w:r>
          </w:p>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i/>
                <w:sz w:val="24"/>
                <w:szCs w:val="24"/>
              </w:rPr>
              <w:t>годин</w:t>
            </w:r>
          </w:p>
        </w:tc>
        <w:tc>
          <w:tcPr>
            <w:tcW w:w="2198" w:type="dxa"/>
            <w:tcBorders>
              <w:top w:val="single" w:sz="12" w:space="0" w:color="1F497D"/>
              <w:left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i/>
                <w:sz w:val="24"/>
                <w:szCs w:val="24"/>
              </w:rPr>
              <w:t>Заочна форма, годин</w:t>
            </w:r>
          </w:p>
        </w:tc>
      </w:tr>
      <w:tr w:rsidR="00B00F72" w:rsidRPr="00157B16">
        <w:trPr>
          <w:trHeight w:val="93"/>
        </w:trPr>
        <w:tc>
          <w:tcPr>
            <w:tcW w:w="2802" w:type="dxa"/>
            <w:vMerge/>
            <w:tcBorders>
              <w:top w:val="single" w:sz="12" w:space="0" w:color="4F81BD"/>
              <w:left w:val="single" w:sz="12" w:space="0" w:color="4F81BD"/>
            </w:tcBorders>
            <w:shd w:val="clear" w:color="auto" w:fill="DBE5F1"/>
            <w:vAlign w:val="center"/>
          </w:tcPr>
          <w:p w:rsidR="00B00F72" w:rsidRPr="00157B16" w:rsidRDefault="00B00F72">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6" w:type="dxa"/>
            <w:tcBorders>
              <w:right w:val="single" w:sz="12" w:space="0" w:color="4F81BD"/>
            </w:tcBorders>
          </w:tcPr>
          <w:p w:rsidR="00B00F72" w:rsidRPr="00157B16" w:rsidRDefault="00157B16">
            <w:pPr>
              <w:pBdr>
                <w:top w:val="nil"/>
                <w:left w:val="nil"/>
                <w:bottom w:val="nil"/>
                <w:right w:val="nil"/>
                <w:between w:val="nil"/>
              </w:pBdr>
              <w:spacing w:line="216" w:lineRule="auto"/>
              <w:ind w:left="29"/>
              <w:jc w:val="both"/>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Лекції</w:t>
            </w:r>
          </w:p>
          <w:p w:rsidR="00B00F72" w:rsidRPr="00157B16" w:rsidRDefault="00157B16">
            <w:pPr>
              <w:pBdr>
                <w:top w:val="nil"/>
                <w:left w:val="nil"/>
                <w:bottom w:val="nil"/>
                <w:right w:val="nil"/>
                <w:between w:val="nil"/>
              </w:pBdr>
              <w:spacing w:line="216" w:lineRule="auto"/>
              <w:ind w:left="29"/>
              <w:jc w:val="both"/>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Практичні заняття</w:t>
            </w:r>
          </w:p>
          <w:p w:rsidR="00B00F72" w:rsidRPr="00157B16" w:rsidRDefault="00157B16">
            <w:pPr>
              <w:ind w:left="29"/>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Самостійна робота</w:t>
            </w:r>
          </w:p>
        </w:tc>
        <w:tc>
          <w:tcPr>
            <w:tcW w:w="2410" w:type="dxa"/>
            <w:tcBorders>
              <w:left w:val="single" w:sz="12" w:space="0" w:color="4F81BD"/>
              <w:right w:val="single" w:sz="12" w:space="0" w:color="4F81BD"/>
            </w:tcBorders>
          </w:tcPr>
          <w:p w:rsidR="00B00F72" w:rsidRPr="00157B16" w:rsidRDefault="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16</w:t>
            </w:r>
          </w:p>
          <w:p w:rsidR="00B00F72" w:rsidRPr="00157B16" w:rsidRDefault="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32</w:t>
            </w:r>
          </w:p>
          <w:p w:rsidR="00B00F72" w:rsidRPr="00157B16" w:rsidRDefault="00157B16" w:rsidP="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42</w:t>
            </w:r>
          </w:p>
        </w:tc>
        <w:tc>
          <w:tcPr>
            <w:tcW w:w="2198" w:type="dxa"/>
            <w:tcBorders>
              <w:left w:val="single" w:sz="12" w:space="0" w:color="4F81BD"/>
              <w:right w:val="single" w:sz="12" w:space="0" w:color="4F81BD"/>
            </w:tcBorders>
          </w:tcPr>
          <w:p w:rsidR="00B00F72" w:rsidRPr="00157B16" w:rsidRDefault="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2</w:t>
            </w:r>
          </w:p>
          <w:p w:rsidR="00B00F72" w:rsidRPr="00157B16" w:rsidRDefault="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2</w:t>
            </w:r>
          </w:p>
          <w:p w:rsidR="00B00F72" w:rsidRPr="00157B16" w:rsidRDefault="00157B16" w:rsidP="00157B16">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157B16">
              <w:rPr>
                <w:rFonts w:ascii="Times New Roman" w:eastAsia="Times New Roman" w:hAnsi="Times New Roman" w:cs="Times New Roman"/>
                <w:color w:val="000000"/>
                <w:sz w:val="24"/>
                <w:szCs w:val="24"/>
              </w:rPr>
              <w:t>80</w:t>
            </w:r>
          </w:p>
        </w:tc>
      </w:tr>
      <w:tr w:rsidR="00B00F72" w:rsidRPr="00157B16">
        <w:trPr>
          <w:trHeight w:val="93"/>
        </w:trPr>
        <w:tc>
          <w:tcPr>
            <w:tcW w:w="2802" w:type="dxa"/>
            <w:vMerge/>
            <w:tcBorders>
              <w:top w:val="single" w:sz="12" w:space="0" w:color="4F81BD"/>
              <w:left w:val="single" w:sz="12" w:space="0" w:color="4F81BD"/>
            </w:tcBorders>
            <w:shd w:val="clear" w:color="auto" w:fill="DBE5F1"/>
            <w:vAlign w:val="center"/>
          </w:tcPr>
          <w:p w:rsidR="00B00F72" w:rsidRPr="00157B16" w:rsidRDefault="00B00F7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76" w:type="dxa"/>
            <w:tcBorders>
              <w:bottom w:val="single" w:sz="12" w:space="0" w:color="4F81BD"/>
              <w:right w:val="single" w:sz="12" w:space="0" w:color="4F81BD"/>
            </w:tcBorders>
          </w:tcPr>
          <w:p w:rsidR="00B00F72" w:rsidRPr="00157B16" w:rsidRDefault="00157B16">
            <w:pP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РАЗОМ</w:t>
            </w:r>
          </w:p>
        </w:tc>
        <w:tc>
          <w:tcPr>
            <w:tcW w:w="2410" w:type="dxa"/>
            <w:tcBorders>
              <w:left w:val="single" w:sz="12" w:space="0" w:color="4F81BD"/>
              <w:bottom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90</w:t>
            </w:r>
          </w:p>
        </w:tc>
        <w:tc>
          <w:tcPr>
            <w:tcW w:w="2198" w:type="dxa"/>
            <w:tcBorders>
              <w:left w:val="single" w:sz="12" w:space="0" w:color="4F81BD"/>
              <w:right w:val="single" w:sz="12" w:space="0" w:color="4F81BD"/>
            </w:tcBorders>
            <w:vAlign w:val="center"/>
          </w:tcPr>
          <w:p w:rsidR="00B00F72" w:rsidRPr="00157B16" w:rsidRDefault="00157B16">
            <w:pPr>
              <w:jc w:val="cente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84</w:t>
            </w:r>
          </w:p>
        </w:tc>
      </w:tr>
      <w:tr w:rsidR="00B00F72" w:rsidRPr="00157B16">
        <w:tc>
          <w:tcPr>
            <w:tcW w:w="2802" w:type="dxa"/>
            <w:tcBorders>
              <w:top w:val="single" w:sz="12" w:space="0" w:color="4F81BD"/>
              <w:left w:val="single" w:sz="12" w:space="0" w:color="4F81BD"/>
              <w:bottom w:val="single" w:sz="12" w:space="0" w:color="4F81BD"/>
            </w:tcBorders>
            <w:shd w:val="clear" w:color="auto" w:fill="DBE5F1"/>
            <w:vAlign w:val="center"/>
          </w:tcPr>
          <w:p w:rsidR="00B00F72" w:rsidRPr="00157B16" w:rsidRDefault="00157B16">
            <w:pPr>
              <w:rPr>
                <w:rFonts w:ascii="Times New Roman" w:eastAsia="Times New Roman" w:hAnsi="Times New Roman" w:cs="Times New Roman"/>
                <w:b/>
                <w:sz w:val="28"/>
                <w:szCs w:val="28"/>
              </w:rPr>
            </w:pPr>
            <w:r w:rsidRPr="00157B16">
              <w:rPr>
                <w:rFonts w:ascii="Times New Roman" w:eastAsia="Times New Roman" w:hAnsi="Times New Roman" w:cs="Times New Roman"/>
                <w:b/>
                <w:sz w:val="28"/>
                <w:szCs w:val="28"/>
              </w:rPr>
              <w:t>Методи викладання</w:t>
            </w:r>
          </w:p>
        </w:tc>
        <w:tc>
          <w:tcPr>
            <w:tcW w:w="7584" w:type="dxa"/>
            <w:gridSpan w:val="3"/>
            <w:tcBorders>
              <w:top w:val="single" w:sz="12" w:space="0" w:color="4F81BD"/>
              <w:bottom w:val="single" w:sz="12" w:space="0" w:color="4F81BD"/>
              <w:right w:val="single" w:sz="12" w:space="0" w:color="4F81BD"/>
            </w:tcBorders>
          </w:tcPr>
          <w:p w:rsidR="00B00F72" w:rsidRPr="00157B16" w:rsidRDefault="00157B16">
            <w:pPr>
              <w:rPr>
                <w:rFonts w:ascii="Times New Roman" w:eastAsia="Times New Roman" w:hAnsi="Times New Roman" w:cs="Times New Roman"/>
                <w:sz w:val="24"/>
                <w:szCs w:val="24"/>
              </w:rPr>
            </w:pPr>
            <w:r w:rsidRPr="00157B16">
              <w:rPr>
                <w:rFonts w:ascii="Times New Roman" w:eastAsia="Times New Roman" w:hAnsi="Times New Roman" w:cs="Times New Roman"/>
                <w:sz w:val="24"/>
                <w:szCs w:val="24"/>
              </w:rPr>
              <w:t xml:space="preserve">Лекції та практичні завдання з використанням технічних засобів </w:t>
            </w:r>
          </w:p>
        </w:tc>
      </w:tr>
      <w:tr w:rsidR="00B00F72" w:rsidRPr="00731B8D">
        <w:tc>
          <w:tcPr>
            <w:tcW w:w="2802" w:type="dxa"/>
            <w:tcBorders>
              <w:top w:val="single" w:sz="12" w:space="0" w:color="4F81BD"/>
              <w:left w:val="single" w:sz="12" w:space="0" w:color="4F81BD"/>
              <w:bottom w:val="single" w:sz="12" w:space="0" w:color="4F81BD"/>
            </w:tcBorders>
            <w:shd w:val="clear" w:color="auto" w:fill="DBE5F1"/>
            <w:vAlign w:val="center"/>
          </w:tcPr>
          <w:p w:rsidR="00B00F72" w:rsidRPr="00731B8D" w:rsidRDefault="00157B16">
            <w:pPr>
              <w:rPr>
                <w:rFonts w:ascii="Times New Roman" w:eastAsia="Times New Roman" w:hAnsi="Times New Roman" w:cs="Times New Roman"/>
                <w:b/>
                <w:sz w:val="28"/>
                <w:szCs w:val="28"/>
              </w:rPr>
            </w:pPr>
            <w:proofErr w:type="spellStart"/>
            <w:r w:rsidRPr="00731B8D">
              <w:rPr>
                <w:rFonts w:ascii="Times New Roman" w:eastAsia="Times New Roman" w:hAnsi="Times New Roman" w:cs="Times New Roman"/>
                <w:b/>
                <w:sz w:val="28"/>
                <w:szCs w:val="28"/>
              </w:rPr>
              <w:t>Пререквізити</w:t>
            </w:r>
            <w:proofErr w:type="spellEnd"/>
          </w:p>
        </w:tc>
        <w:tc>
          <w:tcPr>
            <w:tcW w:w="7584" w:type="dxa"/>
            <w:gridSpan w:val="3"/>
            <w:tcBorders>
              <w:top w:val="single" w:sz="12" w:space="0" w:color="4F81BD"/>
              <w:bottom w:val="single" w:sz="12" w:space="0" w:color="4F81BD"/>
              <w:right w:val="single" w:sz="12" w:space="0" w:color="4F81BD"/>
            </w:tcBorders>
          </w:tcPr>
          <w:p w:rsidR="00B00F72" w:rsidRPr="00731B8D" w:rsidRDefault="00157B16" w:rsidP="00731B8D">
            <w:pPr>
              <w:rPr>
                <w:rFonts w:ascii="Times New Roman" w:eastAsia="Times New Roman" w:hAnsi="Times New Roman" w:cs="Times New Roman"/>
                <w:sz w:val="24"/>
                <w:szCs w:val="24"/>
              </w:rPr>
            </w:pPr>
            <w:r w:rsidRPr="00731B8D">
              <w:rPr>
                <w:rFonts w:ascii="Times New Roman" w:eastAsia="Times New Roman" w:hAnsi="Times New Roman" w:cs="Times New Roman"/>
                <w:sz w:val="24"/>
                <w:szCs w:val="24"/>
              </w:rPr>
              <w:t>Базові знання з навчальних дисциплін: «Вступ до фаху»; «Економічна теорія»;</w:t>
            </w:r>
            <w:r w:rsidR="00731B8D" w:rsidRPr="00731B8D">
              <w:rPr>
                <w:rFonts w:ascii="Times New Roman" w:eastAsia="Times New Roman" w:hAnsi="Times New Roman" w:cs="Times New Roman"/>
                <w:sz w:val="24"/>
                <w:szCs w:val="24"/>
              </w:rPr>
              <w:t xml:space="preserve"> «Бюджетна та податкова система», «Бухгалтерський облік»</w:t>
            </w:r>
          </w:p>
        </w:tc>
      </w:tr>
    </w:tbl>
    <w:p w:rsidR="00B00F72" w:rsidRPr="00157B16" w:rsidRDefault="00B00F72">
      <w:pPr>
        <w:rPr>
          <w:rFonts w:ascii="Times New Roman" w:eastAsia="Times New Roman" w:hAnsi="Times New Roman" w:cs="Times New Roman"/>
          <w:highlight w:val="yellow"/>
        </w:rPr>
      </w:pPr>
    </w:p>
    <w:p w:rsidR="00B00F72" w:rsidRPr="00C05FCB" w:rsidRDefault="00157B16">
      <w:pPr>
        <w:jc w:val="center"/>
        <w:rPr>
          <w:b/>
          <w:i/>
          <w:color w:val="365F91"/>
          <w:sz w:val="28"/>
          <w:szCs w:val="28"/>
        </w:rPr>
      </w:pPr>
      <w:r w:rsidRPr="00C05FCB">
        <w:rPr>
          <w:b/>
          <w:i/>
          <w:color w:val="365F91"/>
          <w:sz w:val="28"/>
          <w:szCs w:val="28"/>
        </w:rPr>
        <w:t>СТРУКТУРА ДИСЦИПЛІНИ</w:t>
      </w:r>
    </w:p>
    <w:p w:rsidR="00B00F72" w:rsidRPr="00C05FCB" w:rsidRDefault="00B00F72">
      <w:pPr>
        <w:jc w:val="center"/>
        <w:rPr>
          <w:rFonts w:ascii="Times New Roman" w:eastAsia="Times New Roman" w:hAnsi="Times New Roman" w:cs="Times New Roman"/>
          <w:sz w:val="18"/>
          <w:szCs w:val="18"/>
        </w:rPr>
      </w:pPr>
    </w:p>
    <w:tbl>
      <w:tblPr>
        <w:tblStyle w:val="af8"/>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943"/>
        <w:gridCol w:w="7443"/>
      </w:tblGrid>
      <w:tr w:rsidR="00B00F72" w:rsidRPr="00C05FCB">
        <w:trPr>
          <w:trHeight w:val="20"/>
        </w:trPr>
        <w:tc>
          <w:tcPr>
            <w:tcW w:w="2943" w:type="dxa"/>
            <w:tcBorders>
              <w:top w:val="single" w:sz="12" w:space="0" w:color="4F81BD"/>
              <w:left w:val="single" w:sz="12" w:space="0" w:color="4F81BD"/>
              <w:right w:val="single" w:sz="12" w:space="0" w:color="4F81BD"/>
            </w:tcBorders>
            <w:shd w:val="clear" w:color="auto" w:fill="DBE5F1"/>
            <w:vAlign w:val="center"/>
          </w:tcPr>
          <w:p w:rsidR="00B00F72" w:rsidRPr="00C05FCB" w:rsidRDefault="00157B16">
            <w:pPr>
              <w:jc w:val="center"/>
              <w:rPr>
                <w:rFonts w:ascii="Times New Roman" w:eastAsia="Times New Roman" w:hAnsi="Times New Roman" w:cs="Times New Roman"/>
                <w:sz w:val="24"/>
                <w:szCs w:val="24"/>
              </w:rPr>
            </w:pPr>
            <w:r w:rsidRPr="00C05FCB">
              <w:rPr>
                <w:rFonts w:ascii="Times New Roman" w:eastAsia="Times New Roman" w:hAnsi="Times New Roman" w:cs="Times New Roman"/>
                <w:b/>
                <w:sz w:val="24"/>
                <w:szCs w:val="24"/>
              </w:rPr>
              <w:t>ТЕМА</w:t>
            </w:r>
          </w:p>
        </w:tc>
        <w:tc>
          <w:tcPr>
            <w:tcW w:w="7443" w:type="dxa"/>
            <w:tcBorders>
              <w:top w:val="single" w:sz="12" w:space="0" w:color="4F81BD"/>
              <w:left w:val="single" w:sz="12" w:space="0" w:color="4F81BD"/>
              <w:right w:val="single" w:sz="12" w:space="0" w:color="4F81BD"/>
            </w:tcBorders>
            <w:shd w:val="clear" w:color="auto" w:fill="DBE5F1"/>
            <w:vAlign w:val="center"/>
          </w:tcPr>
          <w:p w:rsidR="00B00F72" w:rsidRPr="00C05FCB" w:rsidRDefault="00157B16">
            <w:pPr>
              <w:jc w:val="center"/>
              <w:rPr>
                <w:rFonts w:ascii="Times New Roman" w:eastAsia="Times New Roman" w:hAnsi="Times New Roman" w:cs="Times New Roman"/>
                <w:sz w:val="24"/>
                <w:szCs w:val="24"/>
              </w:rPr>
            </w:pPr>
            <w:r w:rsidRPr="00C05FCB">
              <w:rPr>
                <w:rFonts w:ascii="Times New Roman" w:eastAsia="Times New Roman" w:hAnsi="Times New Roman" w:cs="Times New Roman"/>
                <w:b/>
                <w:sz w:val="24"/>
                <w:szCs w:val="24"/>
              </w:rPr>
              <w:t>ЗМІСТ</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Тема 1. Суб’єкти господарювання як платники податків та зборів </w:t>
            </w:r>
          </w:p>
          <w:p w:rsidR="000148E3" w:rsidRPr="00C05FCB" w:rsidRDefault="000148E3" w:rsidP="000148E3">
            <w:pPr>
              <w:rPr>
                <w:rFonts w:ascii="Times New Roman" w:eastAsia="Times New Roman" w:hAnsi="Times New Roman" w:cs="Times New Roman"/>
                <w:sz w:val="24"/>
                <w:szCs w:val="24"/>
              </w:rPr>
            </w:pPr>
          </w:p>
        </w:tc>
        <w:tc>
          <w:tcPr>
            <w:tcW w:w="7443" w:type="dxa"/>
            <w:tcBorders>
              <w:left w:val="single" w:sz="12" w:space="0" w:color="4F81BD"/>
              <w:right w:val="single" w:sz="12" w:space="0" w:color="4F81BD"/>
            </w:tcBorders>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1.1. Поняття та види суб’єктів господарювання.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1.2. Господарська та підприємницька діяльність.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1.3. Поняття «платники податків».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1.4. Податки і збори в Україні.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1.5. Системи оподаткування. </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Тема 2. Відносини суб’єктів господарювання з органами Державної податкової служби</w:t>
            </w:r>
          </w:p>
        </w:tc>
        <w:tc>
          <w:tcPr>
            <w:tcW w:w="7443" w:type="dxa"/>
            <w:tcBorders>
              <w:left w:val="single" w:sz="12" w:space="0" w:color="4F81BD"/>
              <w:right w:val="single" w:sz="12" w:space="0" w:color="4F81BD"/>
            </w:tcBorders>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2.1’ Податкова звітність.</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2.2. Порядок сплати податків.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2.3. Податкові консультації.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2.4. Податкові перевірки.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2.5. Відповідальність за порушення податкового законодавства.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2.6. Вирішення спірних питань.</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2.7. Електронний кабінет платника.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2.8. Сервіси Державної податкової служби та інших державних установ</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Тема 3. Податкові пільги та спеціальні режими оподаткування</w:t>
            </w:r>
          </w:p>
        </w:tc>
        <w:tc>
          <w:tcPr>
            <w:tcW w:w="7443" w:type="dxa"/>
            <w:tcBorders>
              <w:left w:val="single" w:sz="12" w:space="0" w:color="4F81BD"/>
              <w:right w:val="single" w:sz="12" w:space="0" w:color="4F81BD"/>
            </w:tcBorders>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3.1. Поняття «податкові пільги».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3.2. Види та форми податкових пільг.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3.3. Суб’єкти та галузі, що мають право використовувати податкові пільги.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3.4. Спеціальні режими оподаткування. </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Тема 4. Оподаткування фізичних осіб-підприємців та малих підприємств</w:t>
            </w:r>
          </w:p>
        </w:tc>
        <w:tc>
          <w:tcPr>
            <w:tcW w:w="7443" w:type="dxa"/>
            <w:tcBorders>
              <w:left w:val="single" w:sz="12" w:space="0" w:color="4F81BD"/>
              <w:right w:val="single" w:sz="12" w:space="0" w:color="4F81BD"/>
            </w:tcBorders>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4.1. Спрощена система оподаткування.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4.2. Єдиний податок.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4.3. Нарахування та сплата єдиного соціального внеску фізичними особами підприємцями.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4.4. Особливості оподаткування торгівлі. Використання реєстраторів розрахункових операцій.</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4.5 Державна підтримка малого бізнесу</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Тема 5. Податок на додану вартість </w:t>
            </w:r>
          </w:p>
          <w:p w:rsidR="000148E3" w:rsidRPr="00C05FCB" w:rsidRDefault="000148E3" w:rsidP="000148E3">
            <w:pPr>
              <w:rPr>
                <w:rFonts w:ascii="Times New Roman" w:eastAsia="Times New Roman" w:hAnsi="Times New Roman" w:cs="Times New Roman"/>
                <w:sz w:val="24"/>
                <w:szCs w:val="24"/>
              </w:rPr>
            </w:pPr>
          </w:p>
        </w:tc>
        <w:tc>
          <w:tcPr>
            <w:tcW w:w="7443" w:type="dxa"/>
            <w:tcBorders>
              <w:left w:val="single" w:sz="12" w:space="0" w:color="4F81BD"/>
              <w:right w:val="single" w:sz="12" w:space="0" w:color="4F81BD"/>
            </w:tcBorders>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5.1. Платники податку на додану вартість.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5.2. Особливості визначення бази оподаткування податком на додану вартість.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5.3. Ставки податку на додану вартість.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5.4. Податковий кредит.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5.5. Особливості оформлення податкової накладної.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5.6. Система електронного адміністрування податку на додану вартість. </w:t>
            </w:r>
          </w:p>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5.7. Порядок надання податкової декларації та строки розрахунків з бюджетом</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Тема 6. Акцизний податок та мито</w:t>
            </w:r>
          </w:p>
        </w:tc>
        <w:tc>
          <w:tcPr>
            <w:tcW w:w="7443" w:type="dxa"/>
            <w:tcBorders>
              <w:left w:val="single" w:sz="12" w:space="0" w:color="4F81BD"/>
              <w:right w:val="single" w:sz="12" w:space="0" w:color="4F81BD"/>
            </w:tcBorders>
          </w:tcPr>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6.1. </w:t>
            </w:r>
            <w:r w:rsidR="000148E3" w:rsidRPr="00C05FCB">
              <w:rPr>
                <w:rFonts w:ascii="Times New Roman" w:eastAsia="Times New Roman" w:hAnsi="Times New Roman" w:cs="Times New Roman"/>
                <w:sz w:val="24"/>
                <w:szCs w:val="24"/>
              </w:rPr>
              <w:t xml:space="preserve">Платники акцизного податку.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6.2. </w:t>
            </w:r>
            <w:r w:rsidR="000148E3" w:rsidRPr="00C05FCB">
              <w:rPr>
                <w:rFonts w:ascii="Times New Roman" w:eastAsia="Times New Roman" w:hAnsi="Times New Roman" w:cs="Times New Roman"/>
                <w:sz w:val="24"/>
                <w:szCs w:val="24"/>
              </w:rPr>
              <w:t xml:space="preserve">Об’єкти оподаткування акцизним податком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6.3. </w:t>
            </w:r>
            <w:r w:rsidR="000148E3" w:rsidRPr="00C05FCB">
              <w:rPr>
                <w:rFonts w:ascii="Times New Roman" w:eastAsia="Times New Roman" w:hAnsi="Times New Roman" w:cs="Times New Roman"/>
                <w:sz w:val="24"/>
                <w:szCs w:val="24"/>
              </w:rPr>
              <w:t xml:space="preserve">База оподаткування акцизним податком.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6.4. </w:t>
            </w:r>
            <w:r w:rsidR="000148E3" w:rsidRPr="00C05FCB">
              <w:rPr>
                <w:rFonts w:ascii="Times New Roman" w:eastAsia="Times New Roman" w:hAnsi="Times New Roman" w:cs="Times New Roman"/>
                <w:sz w:val="24"/>
                <w:szCs w:val="24"/>
              </w:rPr>
              <w:t xml:space="preserve">Порядок обчислення акцизного податку з товарів, вироблених на території України.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6.5. </w:t>
            </w:r>
            <w:r w:rsidR="000148E3" w:rsidRPr="00C05FCB">
              <w:rPr>
                <w:rFonts w:ascii="Times New Roman" w:eastAsia="Times New Roman" w:hAnsi="Times New Roman" w:cs="Times New Roman"/>
                <w:sz w:val="24"/>
                <w:szCs w:val="24"/>
              </w:rPr>
              <w:t xml:space="preserve">Порядок обчислення акцизного податку з товарів, які ввозяться на митну територію України.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6.6. </w:t>
            </w:r>
            <w:r w:rsidR="000148E3" w:rsidRPr="00C05FCB">
              <w:rPr>
                <w:rFonts w:ascii="Times New Roman" w:eastAsia="Times New Roman" w:hAnsi="Times New Roman" w:cs="Times New Roman"/>
                <w:sz w:val="24"/>
                <w:szCs w:val="24"/>
              </w:rPr>
              <w:t xml:space="preserve">Особливості обчислення акцизного податку з тютюнових виробів.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6.7. </w:t>
            </w:r>
            <w:r w:rsidR="000148E3" w:rsidRPr="00C05FCB">
              <w:rPr>
                <w:rFonts w:ascii="Times New Roman" w:eastAsia="Times New Roman" w:hAnsi="Times New Roman" w:cs="Times New Roman"/>
                <w:sz w:val="24"/>
                <w:szCs w:val="24"/>
              </w:rPr>
              <w:t xml:space="preserve">Порядок і строки сплати акцизного податку.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6.8. </w:t>
            </w:r>
            <w:r w:rsidR="000148E3" w:rsidRPr="00C05FCB">
              <w:rPr>
                <w:rFonts w:ascii="Times New Roman" w:eastAsia="Times New Roman" w:hAnsi="Times New Roman" w:cs="Times New Roman"/>
                <w:sz w:val="24"/>
                <w:szCs w:val="24"/>
              </w:rPr>
              <w:t xml:space="preserve">Складення та подання декларації з акцизного податку.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6.9. </w:t>
            </w:r>
            <w:r w:rsidR="000148E3" w:rsidRPr="00C05FCB">
              <w:rPr>
                <w:rFonts w:ascii="Times New Roman" w:eastAsia="Times New Roman" w:hAnsi="Times New Roman" w:cs="Times New Roman"/>
                <w:sz w:val="24"/>
                <w:szCs w:val="24"/>
              </w:rPr>
              <w:t xml:space="preserve">Особливості оподаткування алкогольних напоїв.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6.10 </w:t>
            </w:r>
            <w:r w:rsidR="000148E3" w:rsidRPr="00C05FCB">
              <w:rPr>
                <w:rFonts w:ascii="Times New Roman" w:eastAsia="Times New Roman" w:hAnsi="Times New Roman" w:cs="Times New Roman"/>
                <w:sz w:val="24"/>
                <w:szCs w:val="24"/>
              </w:rPr>
              <w:t xml:space="preserve">Акцизна накладна.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6.11. </w:t>
            </w:r>
            <w:r w:rsidR="000148E3" w:rsidRPr="00C05FCB">
              <w:rPr>
                <w:rFonts w:ascii="Times New Roman" w:eastAsia="Times New Roman" w:hAnsi="Times New Roman" w:cs="Times New Roman"/>
                <w:sz w:val="24"/>
                <w:szCs w:val="24"/>
              </w:rPr>
              <w:t>Систем електронного адміністрування реалізації пального</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Тема 7. Податок на прибуток підприємств </w:t>
            </w:r>
          </w:p>
          <w:p w:rsidR="000148E3" w:rsidRPr="00C05FCB" w:rsidRDefault="000148E3" w:rsidP="000148E3">
            <w:pPr>
              <w:rPr>
                <w:rFonts w:ascii="Times New Roman" w:eastAsia="Times New Roman" w:hAnsi="Times New Roman" w:cs="Times New Roman"/>
                <w:sz w:val="24"/>
                <w:szCs w:val="24"/>
              </w:rPr>
            </w:pPr>
          </w:p>
        </w:tc>
        <w:tc>
          <w:tcPr>
            <w:tcW w:w="7443" w:type="dxa"/>
            <w:tcBorders>
              <w:left w:val="single" w:sz="12" w:space="0" w:color="4F81BD"/>
              <w:right w:val="single" w:sz="12" w:space="0" w:color="4F81BD"/>
            </w:tcBorders>
          </w:tcPr>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7.1 </w:t>
            </w:r>
            <w:hyperlink r:id="rId10" w:history="1">
              <w:r w:rsidR="000148E3" w:rsidRPr="00C05FCB">
                <w:rPr>
                  <w:rFonts w:ascii="Times New Roman" w:eastAsia="Times New Roman" w:hAnsi="Times New Roman" w:cs="Times New Roman"/>
                  <w:sz w:val="24"/>
                  <w:szCs w:val="24"/>
                </w:rPr>
                <w:t>Платники податку</w:t>
              </w:r>
            </w:hyperlink>
            <w:r w:rsidR="000148E3" w:rsidRPr="00C05FCB">
              <w:rPr>
                <w:rFonts w:ascii="Times New Roman" w:eastAsia="Times New Roman" w:hAnsi="Times New Roman" w:cs="Times New Roman"/>
                <w:sz w:val="24"/>
                <w:szCs w:val="24"/>
              </w:rPr>
              <w:t xml:space="preserve"> на прибуток.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7.2. </w:t>
            </w:r>
            <w:r w:rsidR="000148E3" w:rsidRPr="00C05FCB">
              <w:rPr>
                <w:rFonts w:ascii="Times New Roman" w:eastAsia="Times New Roman" w:hAnsi="Times New Roman" w:cs="Times New Roman"/>
                <w:sz w:val="24"/>
                <w:szCs w:val="24"/>
              </w:rPr>
              <w:t xml:space="preserve">Об’єкти оподаткування податком на прибуток.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7.3. </w:t>
            </w:r>
            <w:r w:rsidR="000148E3" w:rsidRPr="00C05FCB">
              <w:rPr>
                <w:rFonts w:ascii="Times New Roman" w:eastAsia="Times New Roman" w:hAnsi="Times New Roman" w:cs="Times New Roman"/>
                <w:sz w:val="24"/>
                <w:szCs w:val="24"/>
              </w:rPr>
              <w:t xml:space="preserve">База оподаткування на прибуток.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7.4. </w:t>
            </w:r>
            <w:r w:rsidR="000148E3" w:rsidRPr="00C05FCB">
              <w:rPr>
                <w:rFonts w:ascii="Times New Roman" w:eastAsia="Times New Roman" w:hAnsi="Times New Roman" w:cs="Times New Roman"/>
                <w:sz w:val="24"/>
                <w:szCs w:val="24"/>
              </w:rPr>
              <w:t xml:space="preserve">Ставки податку на прибуток.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7.5. </w:t>
            </w:r>
            <w:r w:rsidR="000148E3" w:rsidRPr="00C05FCB">
              <w:rPr>
                <w:rFonts w:ascii="Times New Roman" w:eastAsia="Times New Roman" w:hAnsi="Times New Roman" w:cs="Times New Roman"/>
                <w:sz w:val="24"/>
                <w:szCs w:val="24"/>
              </w:rPr>
              <w:t xml:space="preserve">Порядок обчислення та сплати податку на прибуток.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7.6. </w:t>
            </w:r>
            <w:r w:rsidR="000148E3" w:rsidRPr="00C05FCB">
              <w:rPr>
                <w:rFonts w:ascii="Times New Roman" w:eastAsia="Times New Roman" w:hAnsi="Times New Roman" w:cs="Times New Roman"/>
                <w:sz w:val="24"/>
                <w:szCs w:val="24"/>
              </w:rPr>
              <w:t xml:space="preserve">Особливості оподаткування податком на прибуток окремих видів діяльності та операцій. </w:t>
            </w:r>
          </w:p>
          <w:p w:rsidR="000148E3" w:rsidRPr="00C05FCB" w:rsidRDefault="00C05FCB" w:rsidP="00C05FCB">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7.7. </w:t>
            </w:r>
            <w:r w:rsidR="000148E3" w:rsidRPr="00C05FCB">
              <w:rPr>
                <w:rFonts w:ascii="Times New Roman" w:eastAsia="Times New Roman" w:hAnsi="Times New Roman" w:cs="Times New Roman"/>
                <w:sz w:val="24"/>
                <w:szCs w:val="24"/>
              </w:rPr>
              <w:t xml:space="preserve">Звільнення від оподаткування податком на прибуток. </w:t>
            </w:r>
          </w:p>
        </w:tc>
      </w:tr>
      <w:tr w:rsidR="000148E3" w:rsidRPr="00C05FCB" w:rsidTr="000148E3">
        <w:trPr>
          <w:trHeight w:val="20"/>
        </w:trPr>
        <w:tc>
          <w:tcPr>
            <w:tcW w:w="2943" w:type="dxa"/>
            <w:tcBorders>
              <w:left w:val="single" w:sz="12" w:space="0" w:color="4F81BD"/>
              <w:right w:val="single" w:sz="12" w:space="0" w:color="4F81BD"/>
            </w:tcBorders>
            <w:shd w:val="clear" w:color="auto" w:fill="DBE5F1"/>
          </w:tcPr>
          <w:p w:rsidR="000148E3" w:rsidRPr="00C05FCB" w:rsidRDefault="000148E3"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Тема 8. Податок на доходи фізичних осіб</w:t>
            </w:r>
          </w:p>
        </w:tc>
        <w:tc>
          <w:tcPr>
            <w:tcW w:w="7443" w:type="dxa"/>
            <w:tcBorders>
              <w:left w:val="single" w:sz="12" w:space="0" w:color="4F81BD"/>
              <w:right w:val="single" w:sz="12" w:space="0" w:color="4F81BD"/>
            </w:tcBorders>
          </w:tcPr>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8.1. </w:t>
            </w:r>
            <w:r w:rsidR="000148E3" w:rsidRPr="00C05FCB">
              <w:rPr>
                <w:rFonts w:ascii="Times New Roman" w:eastAsia="Times New Roman" w:hAnsi="Times New Roman" w:cs="Times New Roman"/>
                <w:sz w:val="24"/>
                <w:szCs w:val="24"/>
              </w:rPr>
              <w:t xml:space="preserve">Об’єкт оподаткування ПДФО.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8.2. </w:t>
            </w:r>
            <w:r w:rsidR="000148E3" w:rsidRPr="00C05FCB">
              <w:rPr>
                <w:rFonts w:ascii="Times New Roman" w:eastAsia="Times New Roman" w:hAnsi="Times New Roman" w:cs="Times New Roman"/>
                <w:sz w:val="24"/>
                <w:szCs w:val="24"/>
              </w:rPr>
              <w:t xml:space="preserve">База оподаткування ПДФО.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8.3. </w:t>
            </w:r>
            <w:r w:rsidR="000148E3" w:rsidRPr="00C05FCB">
              <w:rPr>
                <w:rFonts w:ascii="Times New Roman" w:eastAsia="Times New Roman" w:hAnsi="Times New Roman" w:cs="Times New Roman"/>
                <w:sz w:val="24"/>
                <w:szCs w:val="24"/>
              </w:rPr>
              <w:t xml:space="preserve">Податкова знижка.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8.4. </w:t>
            </w:r>
            <w:r w:rsidR="000148E3" w:rsidRPr="00C05FCB">
              <w:rPr>
                <w:rFonts w:ascii="Times New Roman" w:eastAsia="Times New Roman" w:hAnsi="Times New Roman" w:cs="Times New Roman"/>
                <w:sz w:val="24"/>
                <w:szCs w:val="24"/>
              </w:rPr>
              <w:t xml:space="preserve">Ставки ПДФО.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8.5. </w:t>
            </w:r>
            <w:r w:rsidR="000148E3" w:rsidRPr="00C05FCB">
              <w:rPr>
                <w:rFonts w:ascii="Times New Roman" w:eastAsia="Times New Roman" w:hAnsi="Times New Roman" w:cs="Times New Roman"/>
                <w:sz w:val="24"/>
                <w:szCs w:val="24"/>
              </w:rPr>
              <w:t xml:space="preserve">Порядок нарахування, утримання та сплати ПДФО до бюджету.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8.6. </w:t>
            </w:r>
            <w:r w:rsidR="000148E3" w:rsidRPr="00C05FCB">
              <w:rPr>
                <w:rFonts w:ascii="Times New Roman" w:eastAsia="Times New Roman" w:hAnsi="Times New Roman" w:cs="Times New Roman"/>
                <w:sz w:val="24"/>
                <w:szCs w:val="24"/>
              </w:rPr>
              <w:t xml:space="preserve">Перерахунок ПДФО та соціальні пільги.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8.7. </w:t>
            </w:r>
            <w:r w:rsidR="000148E3" w:rsidRPr="00C05FCB">
              <w:rPr>
                <w:rFonts w:ascii="Times New Roman" w:eastAsia="Times New Roman" w:hAnsi="Times New Roman" w:cs="Times New Roman"/>
                <w:sz w:val="24"/>
                <w:szCs w:val="24"/>
              </w:rPr>
              <w:t xml:space="preserve">Особливості нарахування та оподаткування окремих видів доходів ПДФО. </w:t>
            </w:r>
          </w:p>
          <w:p w:rsidR="000148E3" w:rsidRPr="00C05FCB" w:rsidRDefault="00C05FCB" w:rsidP="000148E3">
            <w:pPr>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8.8. </w:t>
            </w:r>
            <w:r w:rsidR="000148E3" w:rsidRPr="00C05FCB">
              <w:rPr>
                <w:rFonts w:ascii="Times New Roman" w:eastAsia="Times New Roman" w:hAnsi="Times New Roman" w:cs="Times New Roman"/>
                <w:sz w:val="24"/>
                <w:szCs w:val="24"/>
              </w:rPr>
              <w:t>Порядок звітування за ПДФО</w:t>
            </w:r>
          </w:p>
        </w:tc>
      </w:tr>
    </w:tbl>
    <w:p w:rsidR="00B00F72" w:rsidRPr="00C05FCB" w:rsidRDefault="00B00F72">
      <w:pPr>
        <w:rPr>
          <w:rFonts w:ascii="Times New Roman" w:eastAsia="Times New Roman" w:hAnsi="Times New Roman" w:cs="Times New Roman"/>
        </w:rPr>
      </w:pPr>
    </w:p>
    <w:p w:rsidR="00B00F72" w:rsidRPr="00C05FCB" w:rsidRDefault="00157B16">
      <w:pPr>
        <w:jc w:val="center"/>
        <w:rPr>
          <w:rFonts w:ascii="Times New Roman" w:eastAsia="Times New Roman" w:hAnsi="Times New Roman" w:cs="Times New Roman"/>
        </w:rPr>
      </w:pPr>
      <w:r w:rsidRPr="00C05FCB">
        <w:rPr>
          <w:b/>
          <w:i/>
          <w:color w:val="365F91"/>
          <w:sz w:val="28"/>
          <w:szCs w:val="28"/>
        </w:rPr>
        <w:t>ОСНОВНА ЛІТЕРАТУРА ТА НАВЧАЛЬНІ МАТЕРІАЛИ</w:t>
      </w:r>
    </w:p>
    <w:p w:rsidR="00B00F72" w:rsidRPr="00157B16" w:rsidRDefault="00B00F72">
      <w:pPr>
        <w:rPr>
          <w:rFonts w:ascii="Times New Roman" w:eastAsia="Times New Roman" w:hAnsi="Times New Roman" w:cs="Times New Roman"/>
          <w:sz w:val="6"/>
          <w:szCs w:val="6"/>
          <w:highlight w:val="yellow"/>
        </w:rPr>
      </w:pPr>
    </w:p>
    <w:tbl>
      <w:tblPr>
        <w:tblStyle w:val="af9"/>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0386"/>
      </w:tblGrid>
      <w:tr w:rsidR="00B00F72" w:rsidRPr="00157B16">
        <w:tc>
          <w:tcPr>
            <w:tcW w:w="10386" w:type="dxa"/>
            <w:tcBorders>
              <w:top w:val="single" w:sz="12" w:space="0" w:color="4F81BD"/>
              <w:left w:val="single" w:sz="12" w:space="0" w:color="4F81BD"/>
              <w:bottom w:val="single" w:sz="12" w:space="0" w:color="4F81BD"/>
              <w:right w:val="single" w:sz="12" w:space="0" w:color="4F81BD"/>
            </w:tcBorders>
          </w:tcPr>
          <w:p w:rsidR="00C05FCB"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Господарський кодекс України від 16 січня 2003 року № 436-IV (зі змінами і доповненнями) </w:t>
            </w:r>
          </w:p>
          <w:p w:rsidR="00C05FCB"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Податковий кодекс України від 02 грудня 2010 року № 2755-VI (зі змінами і доповненнями) </w:t>
            </w:r>
          </w:p>
          <w:p w:rsidR="00C05FCB"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Механізми адміністративно-фінансової децентралізації: світові практики та напрями їх імплементації в Україні / ДУ «Інститут регіональних досліджень імені М. І. Долішнього НАН України» ; наук. ред. І. З. </w:t>
            </w:r>
            <w:proofErr w:type="spellStart"/>
            <w:r w:rsidRPr="00C05FCB">
              <w:rPr>
                <w:rFonts w:ascii="Times New Roman" w:eastAsia="Times New Roman" w:hAnsi="Times New Roman" w:cs="Times New Roman"/>
                <w:sz w:val="24"/>
                <w:szCs w:val="24"/>
              </w:rPr>
              <w:t>Сторонянська</w:t>
            </w:r>
            <w:proofErr w:type="spellEnd"/>
            <w:r w:rsidRPr="00C05FCB">
              <w:rPr>
                <w:rFonts w:ascii="Times New Roman" w:eastAsia="Times New Roman" w:hAnsi="Times New Roman" w:cs="Times New Roman"/>
                <w:sz w:val="24"/>
                <w:szCs w:val="24"/>
              </w:rPr>
              <w:t xml:space="preserve">. Львів, 2018. 106 с. </w:t>
            </w:r>
          </w:p>
          <w:p w:rsidR="00C05FCB"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Митний кодекс України № 4495 від 13.03. 2012 р. (зі змінами і доповненнями) </w:t>
            </w:r>
          </w:p>
          <w:p w:rsidR="00C05FCB"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proofErr w:type="spellStart"/>
            <w:r w:rsidRPr="00C05FCB">
              <w:rPr>
                <w:rFonts w:ascii="Times New Roman" w:eastAsia="Times New Roman" w:hAnsi="Times New Roman" w:cs="Times New Roman"/>
                <w:sz w:val="24"/>
                <w:szCs w:val="24"/>
              </w:rPr>
              <w:t>Lagovska</w:t>
            </w:r>
            <w:proofErr w:type="spellEnd"/>
            <w:r w:rsidRPr="00C05FCB">
              <w:rPr>
                <w:rFonts w:ascii="Times New Roman" w:eastAsia="Times New Roman" w:hAnsi="Times New Roman" w:cs="Times New Roman"/>
                <w:sz w:val="24"/>
                <w:szCs w:val="24"/>
              </w:rPr>
              <w:t xml:space="preserve"> O., </w:t>
            </w:r>
            <w:proofErr w:type="spellStart"/>
            <w:r w:rsidRPr="00C05FCB">
              <w:rPr>
                <w:rFonts w:ascii="Times New Roman" w:eastAsia="Times New Roman" w:hAnsi="Times New Roman" w:cs="Times New Roman"/>
                <w:sz w:val="24"/>
                <w:szCs w:val="24"/>
              </w:rPr>
              <w:t>Ilin</w:t>
            </w:r>
            <w:proofErr w:type="spellEnd"/>
            <w:r w:rsidRPr="00C05FCB">
              <w:rPr>
                <w:rFonts w:ascii="Times New Roman" w:eastAsia="Times New Roman" w:hAnsi="Times New Roman" w:cs="Times New Roman"/>
                <w:sz w:val="24"/>
                <w:szCs w:val="24"/>
              </w:rPr>
              <w:t xml:space="preserve"> V., </w:t>
            </w:r>
            <w:proofErr w:type="spellStart"/>
            <w:r w:rsidRPr="00C05FCB">
              <w:rPr>
                <w:rFonts w:ascii="Times New Roman" w:eastAsia="Times New Roman" w:hAnsi="Times New Roman" w:cs="Times New Roman"/>
                <w:sz w:val="24"/>
                <w:szCs w:val="24"/>
              </w:rPr>
              <w:t>Kotsupatriy</w:t>
            </w:r>
            <w:proofErr w:type="spellEnd"/>
            <w:r w:rsidRPr="00C05FCB">
              <w:rPr>
                <w:rFonts w:ascii="Times New Roman" w:eastAsia="Times New Roman" w:hAnsi="Times New Roman" w:cs="Times New Roman"/>
                <w:sz w:val="24"/>
                <w:szCs w:val="24"/>
              </w:rPr>
              <w:t xml:space="preserve"> M., </w:t>
            </w:r>
            <w:proofErr w:type="spellStart"/>
            <w:r w:rsidRPr="00C05FCB">
              <w:rPr>
                <w:rFonts w:ascii="Times New Roman" w:eastAsia="Times New Roman" w:hAnsi="Times New Roman" w:cs="Times New Roman"/>
                <w:sz w:val="24"/>
                <w:szCs w:val="24"/>
              </w:rPr>
              <w:t>Ishchenko</w:t>
            </w:r>
            <w:proofErr w:type="spellEnd"/>
            <w:r w:rsidRPr="00C05FCB">
              <w:rPr>
                <w:rFonts w:ascii="Times New Roman" w:eastAsia="Times New Roman" w:hAnsi="Times New Roman" w:cs="Times New Roman"/>
                <w:sz w:val="24"/>
                <w:szCs w:val="24"/>
              </w:rPr>
              <w:t xml:space="preserve"> M., </w:t>
            </w:r>
            <w:proofErr w:type="spellStart"/>
            <w:r w:rsidRPr="00C05FCB">
              <w:rPr>
                <w:rFonts w:ascii="Times New Roman" w:eastAsia="Times New Roman" w:hAnsi="Times New Roman" w:cs="Times New Roman"/>
                <w:sz w:val="24"/>
                <w:szCs w:val="24"/>
              </w:rPr>
              <w:t>Verbivska</w:t>
            </w:r>
            <w:proofErr w:type="spellEnd"/>
            <w:r w:rsidRPr="00C05FCB">
              <w:rPr>
                <w:rFonts w:ascii="Times New Roman" w:eastAsia="Times New Roman" w:hAnsi="Times New Roman" w:cs="Times New Roman"/>
                <w:sz w:val="24"/>
                <w:szCs w:val="24"/>
              </w:rPr>
              <w:t xml:space="preserve"> L. </w:t>
            </w:r>
            <w:proofErr w:type="spellStart"/>
            <w:r w:rsidRPr="00C05FCB">
              <w:rPr>
                <w:rFonts w:ascii="Times New Roman" w:eastAsia="Times New Roman" w:hAnsi="Times New Roman" w:cs="Times New Roman"/>
                <w:sz w:val="24"/>
                <w:szCs w:val="24"/>
              </w:rPr>
              <w:t>Priority</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directions</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of</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tax</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policy</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change</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in</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the</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information</w:t>
            </w:r>
            <w:proofErr w:type="spellEnd"/>
            <w:r w:rsidRPr="00C05FCB">
              <w:rPr>
                <w:rFonts w:ascii="Times New Roman" w:eastAsia="Times New Roman" w:hAnsi="Times New Roman" w:cs="Times New Roman"/>
                <w:sz w:val="24"/>
                <w:szCs w:val="24"/>
              </w:rPr>
              <w:t xml:space="preserve"> </w:t>
            </w:r>
            <w:proofErr w:type="spellStart"/>
            <w:r w:rsidRPr="00C05FCB">
              <w:rPr>
                <w:rFonts w:ascii="Times New Roman" w:eastAsia="Times New Roman" w:hAnsi="Times New Roman" w:cs="Times New Roman"/>
                <w:sz w:val="24"/>
                <w:szCs w:val="24"/>
              </w:rPr>
              <w:t>sphere</w:t>
            </w:r>
            <w:proofErr w:type="spellEnd"/>
            <w:r w:rsidRPr="00C05FCB">
              <w:rPr>
                <w:rFonts w:ascii="Times New Roman" w:eastAsia="Times New Roman" w:hAnsi="Times New Roman" w:cs="Times New Roman"/>
                <w:sz w:val="24"/>
                <w:szCs w:val="24"/>
              </w:rPr>
              <w:t>. Науковий вісник НГУ. 2020. № 3. С. 183-190</w:t>
            </w:r>
          </w:p>
          <w:p w:rsidR="00B00F72" w:rsidRPr="00C05FCB" w:rsidRDefault="00C05FCB" w:rsidP="00C05FCB">
            <w:pPr>
              <w:pStyle w:val="a5"/>
              <w:numPr>
                <w:ilvl w:val="0"/>
                <w:numId w:val="12"/>
              </w:numPr>
              <w:ind w:left="0" w:firstLine="360"/>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Лаговська О.А., Кучер В.В. Облікове моделювання результатів діяльності IT-компаній при використанні різних систем оподаткування. Електронне фахове видання Мукачівського державного університету «Економіка та суспільство». Випуск № 10, червень 2017 р.</w:t>
            </w:r>
          </w:p>
        </w:tc>
      </w:tr>
    </w:tbl>
    <w:p w:rsidR="00B00F72" w:rsidRPr="00157B16" w:rsidRDefault="00B00F72">
      <w:pPr>
        <w:rPr>
          <w:rFonts w:ascii="Times New Roman" w:eastAsia="Times New Roman" w:hAnsi="Times New Roman" w:cs="Times New Roman"/>
          <w:sz w:val="10"/>
          <w:szCs w:val="10"/>
          <w:highlight w:val="yellow"/>
        </w:rPr>
      </w:pPr>
    </w:p>
    <w:p w:rsidR="00B00F72" w:rsidRPr="00C05FCB" w:rsidRDefault="00157B16">
      <w:pPr>
        <w:jc w:val="center"/>
        <w:rPr>
          <w:b/>
          <w:i/>
          <w:color w:val="365F91"/>
          <w:sz w:val="28"/>
          <w:szCs w:val="28"/>
        </w:rPr>
      </w:pPr>
      <w:r w:rsidRPr="00C05FCB">
        <w:rPr>
          <w:b/>
          <w:i/>
          <w:color w:val="365F91"/>
          <w:sz w:val="28"/>
          <w:szCs w:val="28"/>
        </w:rPr>
        <w:t>ПОЛІТИКА ОЦІНЮВАННЯ</w:t>
      </w:r>
    </w:p>
    <w:tbl>
      <w:tblPr>
        <w:tblStyle w:val="afa"/>
        <w:tblW w:w="103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093"/>
        <w:gridCol w:w="8293"/>
      </w:tblGrid>
      <w:tr w:rsidR="00B00F72" w:rsidRPr="00C05FCB">
        <w:tc>
          <w:tcPr>
            <w:tcW w:w="209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C05FCB" w:rsidRDefault="00157B16">
            <w:pPr>
              <w:rPr>
                <w:rFonts w:ascii="Times New Roman" w:eastAsia="Times New Roman" w:hAnsi="Times New Roman" w:cs="Times New Roman"/>
                <w:sz w:val="24"/>
                <w:szCs w:val="24"/>
              </w:rPr>
            </w:pPr>
            <w:r w:rsidRPr="00C05FCB">
              <w:rPr>
                <w:rFonts w:ascii="Times New Roman" w:eastAsia="Times New Roman" w:hAnsi="Times New Roman" w:cs="Times New Roman"/>
                <w:b/>
                <w:sz w:val="24"/>
                <w:szCs w:val="24"/>
              </w:rPr>
              <w:t>Загальна політика</w:t>
            </w:r>
          </w:p>
        </w:tc>
        <w:tc>
          <w:tcPr>
            <w:tcW w:w="8293" w:type="dxa"/>
            <w:tcBorders>
              <w:top w:val="single" w:sz="12" w:space="0" w:color="4F81BD"/>
              <w:left w:val="single" w:sz="12" w:space="0" w:color="4F81BD"/>
              <w:bottom w:val="single" w:sz="12" w:space="0" w:color="4F81BD"/>
              <w:right w:val="single" w:sz="12" w:space="0" w:color="4F81BD"/>
            </w:tcBorders>
            <w:vAlign w:val="center"/>
          </w:tcPr>
          <w:p w:rsidR="00B00F72" w:rsidRPr="00C05FCB" w:rsidRDefault="00157B16" w:rsidP="00C05FCB">
            <w:pPr>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Здобувач освіти зобов'язаний відвідувати всі заняття згідно розкладу, не спізнюватися. Дотримуватися етики поведінки. Працювати з навчальною літературою, з літературою на електронних носіях і в Інтернеті. При пропуску лекційних занять проводиться усна співбесіда за темою. Відпрацьовувати практичні заняття. Написати курсову роботу.</w:t>
            </w:r>
          </w:p>
        </w:tc>
      </w:tr>
      <w:tr w:rsidR="00B00F72" w:rsidRPr="00C05FCB">
        <w:tc>
          <w:tcPr>
            <w:tcW w:w="209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C05FCB" w:rsidRDefault="00157B16">
            <w:pPr>
              <w:rPr>
                <w:rFonts w:ascii="Times New Roman" w:eastAsia="Times New Roman" w:hAnsi="Times New Roman" w:cs="Times New Roman"/>
                <w:sz w:val="24"/>
                <w:szCs w:val="24"/>
              </w:rPr>
            </w:pPr>
            <w:r w:rsidRPr="00C05FCB">
              <w:rPr>
                <w:rFonts w:ascii="Times New Roman" w:eastAsia="Times New Roman" w:hAnsi="Times New Roman" w:cs="Times New Roman"/>
                <w:b/>
                <w:sz w:val="24"/>
                <w:szCs w:val="24"/>
              </w:rPr>
              <w:t xml:space="preserve">Політика щодо </w:t>
            </w:r>
            <w:proofErr w:type="spellStart"/>
            <w:r w:rsidRPr="00C05FCB">
              <w:rPr>
                <w:rFonts w:ascii="Times New Roman" w:eastAsia="Times New Roman" w:hAnsi="Times New Roman" w:cs="Times New Roman"/>
                <w:b/>
                <w:sz w:val="24"/>
                <w:szCs w:val="24"/>
              </w:rPr>
              <w:t>дедлайнів</w:t>
            </w:r>
            <w:proofErr w:type="spellEnd"/>
            <w:r w:rsidRPr="00C05FCB">
              <w:rPr>
                <w:rFonts w:ascii="Times New Roman" w:eastAsia="Times New Roman" w:hAnsi="Times New Roman" w:cs="Times New Roman"/>
                <w:b/>
                <w:sz w:val="24"/>
                <w:szCs w:val="24"/>
              </w:rPr>
              <w:t xml:space="preserve"> та перескладання</w:t>
            </w:r>
          </w:p>
        </w:tc>
        <w:tc>
          <w:tcPr>
            <w:tcW w:w="8293" w:type="dxa"/>
            <w:tcBorders>
              <w:top w:val="single" w:sz="12" w:space="0" w:color="4F81BD"/>
              <w:left w:val="single" w:sz="12" w:space="0" w:color="4F81BD"/>
              <w:bottom w:val="single" w:sz="12" w:space="0" w:color="4F81BD"/>
              <w:right w:val="single" w:sz="12" w:space="0" w:color="4F81BD"/>
            </w:tcBorders>
            <w:vAlign w:val="center"/>
          </w:tcPr>
          <w:p w:rsidR="00B00F72" w:rsidRPr="00C05FCB" w:rsidRDefault="00157B16" w:rsidP="00C05FCB">
            <w:pPr>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Роботи, які здаються із порушенням термінів, зараховуються з мінімальним задовільним балом.</w:t>
            </w:r>
          </w:p>
        </w:tc>
      </w:tr>
      <w:tr w:rsidR="00B00F72" w:rsidRPr="00C05FCB">
        <w:trPr>
          <w:trHeight w:val="1207"/>
        </w:trPr>
        <w:tc>
          <w:tcPr>
            <w:tcW w:w="209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B00F72" w:rsidRPr="00C05FCB" w:rsidRDefault="00157B16">
            <w:pPr>
              <w:pBdr>
                <w:top w:val="nil"/>
                <w:left w:val="nil"/>
                <w:bottom w:val="nil"/>
                <w:right w:val="nil"/>
                <w:between w:val="nil"/>
              </w:pBdr>
              <w:ind w:right="23"/>
              <w:rPr>
                <w:rFonts w:ascii="Times New Roman" w:eastAsia="Times New Roman" w:hAnsi="Times New Roman" w:cs="Times New Roman"/>
                <w:b/>
                <w:color w:val="000000"/>
                <w:sz w:val="24"/>
                <w:szCs w:val="24"/>
              </w:rPr>
            </w:pPr>
            <w:r w:rsidRPr="00C05FCB">
              <w:rPr>
                <w:rFonts w:ascii="Times New Roman" w:eastAsia="Times New Roman" w:hAnsi="Times New Roman" w:cs="Times New Roman"/>
                <w:b/>
                <w:color w:val="000000"/>
                <w:sz w:val="24"/>
                <w:szCs w:val="24"/>
              </w:rPr>
              <w:t>Політика щодо академічної доброчесності</w:t>
            </w:r>
          </w:p>
        </w:tc>
        <w:tc>
          <w:tcPr>
            <w:tcW w:w="8293" w:type="dxa"/>
            <w:tcBorders>
              <w:top w:val="single" w:sz="12" w:space="0" w:color="4F81BD"/>
              <w:left w:val="single" w:sz="12" w:space="0" w:color="4F81BD"/>
              <w:bottom w:val="single" w:sz="12" w:space="0" w:color="4F81BD"/>
              <w:right w:val="single" w:sz="12" w:space="0" w:color="4F81BD"/>
            </w:tcBorders>
            <w:vAlign w:val="center"/>
          </w:tcPr>
          <w:p w:rsidR="00B00F72" w:rsidRPr="00C05FCB" w:rsidRDefault="00157B16" w:rsidP="00C05FCB">
            <w:pPr>
              <w:pBdr>
                <w:top w:val="nil"/>
                <w:left w:val="nil"/>
                <w:bottom w:val="nil"/>
                <w:right w:val="nil"/>
                <w:between w:val="nil"/>
              </w:pBdr>
              <w:ind w:right="54"/>
              <w:jc w:val="both"/>
              <w:rPr>
                <w:rFonts w:ascii="Times New Roman" w:eastAsia="Times New Roman" w:hAnsi="Times New Roman" w:cs="Times New Roman"/>
                <w:color w:val="000000"/>
                <w:sz w:val="24"/>
                <w:szCs w:val="24"/>
              </w:rPr>
            </w:pPr>
            <w:r w:rsidRPr="00C05FCB">
              <w:rPr>
                <w:rFonts w:ascii="Times New Roman" w:eastAsia="Times New Roman" w:hAnsi="Times New Roman" w:cs="Times New Roman"/>
                <w:color w:val="000000"/>
                <w:sz w:val="24"/>
                <w:szCs w:val="24"/>
              </w:rPr>
              <w:t xml:space="preserve">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sidRPr="00C05FCB">
              <w:rPr>
                <w:rFonts w:ascii="Times New Roman" w:eastAsia="Times New Roman" w:hAnsi="Times New Roman" w:cs="Times New Roman"/>
                <w:color w:val="000000"/>
                <w:sz w:val="24"/>
                <w:szCs w:val="24"/>
              </w:rPr>
              <w:t>т.ч</w:t>
            </w:r>
            <w:proofErr w:type="spellEnd"/>
            <w:r w:rsidRPr="00C05FCB">
              <w:rPr>
                <w:rFonts w:ascii="Times New Roman" w:eastAsia="Times New Roman" w:hAnsi="Times New Roman" w:cs="Times New Roman"/>
                <w:color w:val="000000"/>
                <w:sz w:val="24"/>
                <w:szCs w:val="24"/>
              </w:rPr>
              <w:t xml:space="preserve">. із використанням мобільних </w:t>
            </w:r>
            <w:proofErr w:type="spellStart"/>
            <w:r w:rsidRPr="00C05FCB">
              <w:rPr>
                <w:rFonts w:ascii="Times New Roman" w:eastAsia="Times New Roman" w:hAnsi="Times New Roman" w:cs="Times New Roman"/>
                <w:color w:val="000000"/>
                <w:sz w:val="24"/>
                <w:szCs w:val="24"/>
              </w:rPr>
              <w:t>девайсів</w:t>
            </w:r>
            <w:proofErr w:type="spellEnd"/>
            <w:r w:rsidRPr="00C05FCB">
              <w:rPr>
                <w:rFonts w:ascii="Times New Roman" w:eastAsia="Times New Roman" w:hAnsi="Times New Roman" w:cs="Times New Roman"/>
                <w:color w:val="000000"/>
                <w:sz w:val="24"/>
                <w:szCs w:val="24"/>
              </w:rPr>
              <w:t>). Мобільні пристрої дозволяється використовувати лише під час он-лайн тестування.</w:t>
            </w:r>
          </w:p>
        </w:tc>
      </w:tr>
    </w:tbl>
    <w:p w:rsidR="00B00F72" w:rsidRPr="00157B16" w:rsidRDefault="00B00F72">
      <w:pPr>
        <w:rPr>
          <w:rFonts w:ascii="Times New Roman" w:eastAsia="Times New Roman" w:hAnsi="Times New Roman" w:cs="Times New Roman"/>
          <w:sz w:val="10"/>
          <w:szCs w:val="10"/>
          <w:highlight w:val="yellow"/>
        </w:rPr>
      </w:pPr>
    </w:p>
    <w:p w:rsidR="00B00F72" w:rsidRPr="00C05FCB" w:rsidRDefault="00157B16">
      <w:pPr>
        <w:jc w:val="center"/>
        <w:rPr>
          <w:b/>
          <w:i/>
          <w:color w:val="365F91"/>
          <w:sz w:val="28"/>
          <w:szCs w:val="28"/>
        </w:rPr>
      </w:pPr>
      <w:r w:rsidRPr="00C05FCB">
        <w:rPr>
          <w:b/>
          <w:i/>
          <w:color w:val="365F91"/>
          <w:sz w:val="28"/>
          <w:szCs w:val="28"/>
        </w:rPr>
        <w:lastRenderedPageBreak/>
        <w:t>ОЦІНЮВАННЯ</w:t>
      </w:r>
    </w:p>
    <w:p w:rsidR="00B00F72" w:rsidRPr="00C05FCB" w:rsidRDefault="00B00F72">
      <w:pPr>
        <w:jc w:val="center"/>
        <w:rPr>
          <w:b/>
          <w:i/>
          <w:color w:val="365F9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41"/>
        <w:gridCol w:w="945"/>
        <w:gridCol w:w="916"/>
        <w:gridCol w:w="908"/>
        <w:gridCol w:w="908"/>
        <w:gridCol w:w="908"/>
        <w:gridCol w:w="916"/>
        <w:gridCol w:w="931"/>
        <w:gridCol w:w="925"/>
        <w:gridCol w:w="925"/>
      </w:tblGrid>
      <w:tr w:rsidR="00C05FCB" w:rsidRPr="00C05FCB" w:rsidTr="00B22DD8">
        <w:trPr>
          <w:trHeight w:val="340"/>
        </w:trPr>
        <w:tc>
          <w:tcPr>
            <w:tcW w:w="4545" w:type="pct"/>
            <w:gridSpan w:val="10"/>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Нарахування балів для отримання РЕЙТИНГОВОГО БАЛУ</w:t>
            </w:r>
          </w:p>
        </w:tc>
        <w:tc>
          <w:tcPr>
            <w:tcW w:w="455" w:type="pct"/>
            <w:vMerge w:val="restar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Сума</w:t>
            </w:r>
          </w:p>
        </w:tc>
      </w:tr>
      <w:tr w:rsidR="00C05FCB" w:rsidRPr="00C05FCB" w:rsidTr="00B400E8">
        <w:trPr>
          <w:trHeight w:val="340"/>
        </w:trPr>
        <w:tc>
          <w:tcPr>
            <w:tcW w:w="2287" w:type="pct"/>
            <w:gridSpan w:val="5"/>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МОДУЛЬ 1</w:t>
            </w:r>
          </w:p>
        </w:tc>
        <w:tc>
          <w:tcPr>
            <w:tcW w:w="2258" w:type="pct"/>
            <w:gridSpan w:val="5"/>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МОДУЛЬ 2</w:t>
            </w:r>
          </w:p>
        </w:tc>
        <w:tc>
          <w:tcPr>
            <w:tcW w:w="455" w:type="pct"/>
            <w:vMerge/>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p>
        </w:tc>
      </w:tr>
      <w:tr w:rsidR="00C05FCB" w:rsidRPr="00C05FCB" w:rsidTr="00B22DD8">
        <w:trPr>
          <w:trHeight w:val="340"/>
        </w:trPr>
        <w:tc>
          <w:tcPr>
            <w:tcW w:w="461"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Т1</w:t>
            </w:r>
          </w:p>
        </w:tc>
        <w:tc>
          <w:tcPr>
            <w:tcW w:w="463"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Т2</w:t>
            </w:r>
          </w:p>
        </w:tc>
        <w:tc>
          <w:tcPr>
            <w:tcW w:w="465"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Т3</w:t>
            </w:r>
          </w:p>
        </w:tc>
        <w:tc>
          <w:tcPr>
            <w:tcW w:w="451" w:type="pct"/>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Т4</w:t>
            </w:r>
          </w:p>
        </w:tc>
        <w:tc>
          <w:tcPr>
            <w:tcW w:w="447"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МКР1</w:t>
            </w:r>
          </w:p>
        </w:tc>
        <w:tc>
          <w:tcPr>
            <w:tcW w:w="447"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Т5</w:t>
            </w:r>
          </w:p>
        </w:tc>
        <w:tc>
          <w:tcPr>
            <w:tcW w:w="447"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Т6</w:t>
            </w:r>
          </w:p>
        </w:tc>
        <w:tc>
          <w:tcPr>
            <w:tcW w:w="451"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Т7</w:t>
            </w:r>
          </w:p>
        </w:tc>
        <w:tc>
          <w:tcPr>
            <w:tcW w:w="458"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Т8</w:t>
            </w:r>
          </w:p>
        </w:tc>
        <w:tc>
          <w:tcPr>
            <w:tcW w:w="455"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МКР2</w:t>
            </w:r>
          </w:p>
        </w:tc>
        <w:tc>
          <w:tcPr>
            <w:tcW w:w="455" w:type="pct"/>
            <w:vMerge w:val="restar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100</w:t>
            </w:r>
          </w:p>
        </w:tc>
      </w:tr>
      <w:tr w:rsidR="00C05FCB" w:rsidRPr="00C05FCB" w:rsidTr="00B22DD8">
        <w:trPr>
          <w:trHeight w:val="340"/>
        </w:trPr>
        <w:tc>
          <w:tcPr>
            <w:tcW w:w="461" w:type="pct"/>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63" w:type="pct"/>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65" w:type="pct"/>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51"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47"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35</w:t>
            </w:r>
          </w:p>
        </w:tc>
        <w:tc>
          <w:tcPr>
            <w:tcW w:w="447" w:type="pct"/>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47" w:type="pct"/>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51" w:type="pct"/>
            <w:shd w:val="clear" w:color="auto" w:fill="auto"/>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58"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3,75</w:t>
            </w:r>
          </w:p>
        </w:tc>
        <w:tc>
          <w:tcPr>
            <w:tcW w:w="455" w:type="pct"/>
          </w:tcPr>
          <w:p w:rsidR="00C05FCB" w:rsidRPr="00C05FCB" w:rsidRDefault="00C05FCB" w:rsidP="00C05FCB">
            <w:pPr>
              <w:ind w:left="-57" w:right="-57"/>
              <w:jc w:val="center"/>
              <w:rPr>
                <w:rFonts w:ascii="Times New Roman" w:eastAsia="Times New Roman" w:hAnsi="Times New Roman" w:cs="Times New Roman"/>
                <w:b/>
                <w:sz w:val="24"/>
                <w:szCs w:val="24"/>
              </w:rPr>
            </w:pPr>
            <w:r w:rsidRPr="00C05FCB">
              <w:rPr>
                <w:rFonts w:ascii="Times New Roman" w:eastAsia="Times New Roman" w:hAnsi="Times New Roman" w:cs="Times New Roman"/>
                <w:b/>
                <w:sz w:val="24"/>
                <w:szCs w:val="24"/>
              </w:rPr>
              <w:t>35</w:t>
            </w:r>
          </w:p>
        </w:tc>
        <w:tc>
          <w:tcPr>
            <w:tcW w:w="455" w:type="pct"/>
            <w:vMerge/>
            <w:shd w:val="clear" w:color="auto" w:fill="auto"/>
            <w:vAlign w:val="center"/>
          </w:tcPr>
          <w:p w:rsidR="00C05FCB" w:rsidRPr="00C05FCB" w:rsidRDefault="00C05FCB" w:rsidP="00C05FCB">
            <w:pPr>
              <w:ind w:left="-57" w:right="-57"/>
              <w:jc w:val="center"/>
              <w:rPr>
                <w:rFonts w:ascii="Times New Roman" w:eastAsia="Times New Roman" w:hAnsi="Times New Roman" w:cs="Times New Roman"/>
                <w:b/>
                <w:sz w:val="24"/>
                <w:szCs w:val="24"/>
              </w:rPr>
            </w:pPr>
          </w:p>
        </w:tc>
      </w:tr>
    </w:tbl>
    <w:p w:rsidR="00C05FCB" w:rsidRDefault="00C05FCB">
      <w:pPr>
        <w:jc w:val="center"/>
        <w:rPr>
          <w:b/>
          <w:i/>
          <w:color w:val="365F91"/>
          <w:sz w:val="28"/>
          <w:szCs w:val="28"/>
          <w:highlight w:val="yellow"/>
        </w:rPr>
      </w:pPr>
    </w:p>
    <w:p w:rsidR="00B00F72" w:rsidRPr="00C05FCB" w:rsidRDefault="00157B16">
      <w:pPr>
        <w:spacing w:line="288" w:lineRule="auto"/>
        <w:ind w:firstLine="562"/>
        <w:jc w:val="both"/>
        <w:rPr>
          <w:rFonts w:ascii="Times New Roman" w:eastAsia="Times New Roman" w:hAnsi="Times New Roman" w:cs="Times New Roman"/>
          <w:sz w:val="24"/>
          <w:szCs w:val="24"/>
        </w:rPr>
      </w:pPr>
      <w:r w:rsidRPr="00C05FCB">
        <w:rPr>
          <w:rFonts w:ascii="Times New Roman" w:eastAsia="Times New Roman" w:hAnsi="Times New Roman" w:cs="Times New Roman"/>
          <w:sz w:val="24"/>
          <w:szCs w:val="24"/>
        </w:rPr>
        <w:t xml:space="preserve">1.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rsidR="00B00F72" w:rsidRPr="00C05FCB" w:rsidRDefault="00157B16">
      <w:pPr>
        <w:widowControl/>
        <w:numPr>
          <w:ilvl w:val="0"/>
          <w:numId w:val="2"/>
        </w:numPr>
        <w:pBdr>
          <w:top w:val="nil"/>
          <w:left w:val="nil"/>
          <w:bottom w:val="nil"/>
          <w:right w:val="nil"/>
          <w:between w:val="nil"/>
        </w:pBdr>
        <w:tabs>
          <w:tab w:val="left" w:pos="0"/>
        </w:tabs>
        <w:spacing w:line="288" w:lineRule="auto"/>
        <w:ind w:left="0" w:firstLine="562"/>
        <w:jc w:val="both"/>
        <w:rPr>
          <w:rFonts w:ascii="Times New Roman" w:eastAsia="Times New Roman" w:hAnsi="Times New Roman" w:cs="Times New Roman"/>
          <w:color w:val="000000"/>
          <w:sz w:val="24"/>
          <w:szCs w:val="24"/>
        </w:rPr>
      </w:pPr>
      <w:r w:rsidRPr="00C05FCB">
        <w:rPr>
          <w:rFonts w:ascii="Times New Roman" w:eastAsia="Times New Roman" w:hAnsi="Times New Roman" w:cs="Times New Roman"/>
          <w:color w:val="000000"/>
          <w:sz w:val="24"/>
          <w:szCs w:val="24"/>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в екзаменаційну відомість; </w:t>
      </w:r>
    </w:p>
    <w:p w:rsidR="00B00F72" w:rsidRPr="00C05FCB" w:rsidRDefault="00157B16">
      <w:pPr>
        <w:widowControl/>
        <w:numPr>
          <w:ilvl w:val="0"/>
          <w:numId w:val="2"/>
        </w:numPr>
        <w:pBdr>
          <w:top w:val="nil"/>
          <w:left w:val="nil"/>
          <w:bottom w:val="nil"/>
          <w:right w:val="nil"/>
          <w:between w:val="nil"/>
        </w:pBdr>
        <w:tabs>
          <w:tab w:val="left" w:pos="0"/>
        </w:tabs>
        <w:spacing w:line="288" w:lineRule="auto"/>
        <w:ind w:left="0" w:firstLine="562"/>
        <w:jc w:val="both"/>
        <w:rPr>
          <w:rFonts w:ascii="Times New Roman" w:eastAsia="Times New Roman" w:hAnsi="Times New Roman" w:cs="Times New Roman"/>
          <w:color w:val="000000"/>
          <w:sz w:val="24"/>
          <w:szCs w:val="24"/>
        </w:rPr>
      </w:pPr>
      <w:r w:rsidRPr="00C05FCB">
        <w:rPr>
          <w:rFonts w:ascii="Times New Roman" w:eastAsia="Times New Roman" w:hAnsi="Times New Roman" w:cs="Times New Roman"/>
          <w:color w:val="000000"/>
          <w:sz w:val="24"/>
          <w:szCs w:val="24"/>
        </w:rPr>
        <w:t xml:space="preserve">у разі, якщо студент отримав від 0 до 59 балів, то студент повинен складати </w:t>
      </w:r>
      <w:r w:rsidR="00C05FCB" w:rsidRPr="00C05FCB">
        <w:rPr>
          <w:rFonts w:ascii="Times New Roman" w:eastAsia="Times New Roman" w:hAnsi="Times New Roman" w:cs="Times New Roman"/>
          <w:color w:val="000000"/>
          <w:sz w:val="24"/>
          <w:szCs w:val="24"/>
        </w:rPr>
        <w:t>екзамен</w:t>
      </w:r>
      <w:r w:rsidRPr="00C05FCB">
        <w:rPr>
          <w:rFonts w:ascii="Times New Roman" w:eastAsia="Times New Roman" w:hAnsi="Times New Roman" w:cs="Times New Roman"/>
          <w:color w:val="000000"/>
          <w:sz w:val="24"/>
          <w:szCs w:val="24"/>
        </w:rPr>
        <w:t xml:space="preserve">. Допуск до екзамену надається за умови отримання рейтингового балу не менше 50. У випадку, якщо студент не </w:t>
      </w:r>
      <w:r w:rsidR="00C05FCB" w:rsidRPr="00C05FCB">
        <w:rPr>
          <w:rFonts w:ascii="Times New Roman" w:eastAsia="Times New Roman" w:hAnsi="Times New Roman" w:cs="Times New Roman"/>
          <w:color w:val="000000"/>
          <w:sz w:val="24"/>
          <w:szCs w:val="24"/>
        </w:rPr>
        <w:t>з’являється</w:t>
      </w:r>
      <w:r w:rsidRPr="00C05FCB">
        <w:rPr>
          <w:rFonts w:ascii="Times New Roman" w:eastAsia="Times New Roman" w:hAnsi="Times New Roman" w:cs="Times New Roman"/>
          <w:color w:val="000000"/>
          <w:sz w:val="24"/>
          <w:szCs w:val="24"/>
        </w:rPr>
        <w:t xml:space="preserve"> на екзамен, в екзаменаційну відомість за національною шкалою виставляється оцінка “незадовільно” (“F” та “FX” відповідно до шкали ECTS) відповідно до отриманого рейтингового балу. Складання іспиту оцінюється в 100 балів та проводиться в тестовій формі без участі викладача працівниками навчально-методичного відділу; </w:t>
      </w:r>
    </w:p>
    <w:p w:rsidR="00B00F72" w:rsidRPr="00C05FCB" w:rsidRDefault="00157B16">
      <w:pPr>
        <w:widowControl/>
        <w:numPr>
          <w:ilvl w:val="0"/>
          <w:numId w:val="2"/>
        </w:numPr>
        <w:pBdr>
          <w:top w:val="nil"/>
          <w:left w:val="nil"/>
          <w:bottom w:val="nil"/>
          <w:right w:val="nil"/>
          <w:between w:val="nil"/>
        </w:pBdr>
        <w:tabs>
          <w:tab w:val="left" w:pos="0"/>
        </w:tabs>
        <w:spacing w:line="288" w:lineRule="auto"/>
        <w:ind w:left="0" w:firstLine="562"/>
        <w:jc w:val="both"/>
        <w:rPr>
          <w:rFonts w:ascii="Times New Roman" w:eastAsia="Times New Roman" w:hAnsi="Times New Roman" w:cs="Times New Roman"/>
          <w:color w:val="000000"/>
          <w:sz w:val="24"/>
          <w:szCs w:val="24"/>
        </w:rPr>
      </w:pPr>
      <w:r w:rsidRPr="00C05FCB">
        <w:rPr>
          <w:rFonts w:ascii="Times New Roman" w:eastAsia="Times New Roman" w:hAnsi="Times New Roman" w:cs="Times New Roman"/>
          <w:color w:val="000000"/>
          <w:sz w:val="24"/>
          <w:szCs w:val="24"/>
        </w:rPr>
        <w:t>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екзамен зі всього курсу під час сесії (тестування за розкладом), результати якого виставляються в екзаменаційну відомість.</w:t>
      </w:r>
    </w:p>
    <w:p w:rsidR="00B00F72" w:rsidRDefault="00B00F72">
      <w:pPr>
        <w:jc w:val="center"/>
        <w:rPr>
          <w:b/>
          <w:i/>
          <w:color w:val="365F91"/>
          <w:sz w:val="28"/>
          <w:szCs w:val="28"/>
        </w:rPr>
      </w:pPr>
    </w:p>
    <w:sectPr w:rsidR="00B00F72">
      <w:headerReference w:type="even" r:id="rId11"/>
      <w:headerReference w:type="default" r:id="rId12"/>
      <w:headerReference w:type="first" r:id="rId13"/>
      <w:pgSz w:w="11910" w:h="16840"/>
      <w:pgMar w:top="993" w:right="580" w:bottom="280" w:left="1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E3" w:rsidRDefault="000148E3">
      <w:r>
        <w:separator/>
      </w:r>
    </w:p>
  </w:endnote>
  <w:endnote w:type="continuationSeparator" w:id="0">
    <w:p w:rsidR="000148E3" w:rsidRDefault="0001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E3" w:rsidRDefault="000148E3">
      <w:r>
        <w:separator/>
      </w:r>
    </w:p>
  </w:footnote>
  <w:footnote w:type="continuationSeparator" w:id="0">
    <w:p w:rsidR="000148E3" w:rsidRDefault="0001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E3" w:rsidRDefault="000148E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E3" w:rsidRDefault="000148E3">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E3" w:rsidRDefault="000148E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5FC"/>
    <w:multiLevelType w:val="multilevel"/>
    <w:tmpl w:val="3D58C6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E903EC1"/>
    <w:multiLevelType w:val="multilevel"/>
    <w:tmpl w:val="7B80661A"/>
    <w:lvl w:ilvl="0">
      <w:start w:val="1"/>
      <w:numFmt w:val="bullet"/>
      <w:lvlText w:val="●"/>
      <w:lvlJc w:val="left"/>
      <w:pPr>
        <w:ind w:left="1429"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04E7971"/>
    <w:multiLevelType w:val="multilevel"/>
    <w:tmpl w:val="901C1D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DA67401"/>
    <w:multiLevelType w:val="hybridMultilevel"/>
    <w:tmpl w:val="1040E116"/>
    <w:lvl w:ilvl="0" w:tplc="D9564F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40A0EE2"/>
    <w:multiLevelType w:val="multilevel"/>
    <w:tmpl w:val="723852E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F044B39"/>
    <w:multiLevelType w:val="multilevel"/>
    <w:tmpl w:val="39BA1D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AE2309"/>
    <w:multiLevelType w:val="multilevel"/>
    <w:tmpl w:val="92FA0C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7DB3145"/>
    <w:multiLevelType w:val="multilevel"/>
    <w:tmpl w:val="AE767D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18059C"/>
    <w:multiLevelType w:val="multilevel"/>
    <w:tmpl w:val="E1AE5D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AC3BFB"/>
    <w:multiLevelType w:val="multilevel"/>
    <w:tmpl w:val="B09002C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64957856"/>
    <w:multiLevelType w:val="hybridMultilevel"/>
    <w:tmpl w:val="7BCA6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E8652B"/>
    <w:multiLevelType w:val="multilevel"/>
    <w:tmpl w:val="C3A078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
  </w:num>
  <w:num w:numId="3">
    <w:abstractNumId w:val="8"/>
  </w:num>
  <w:num w:numId="4">
    <w:abstractNumId w:val="11"/>
  </w:num>
  <w:num w:numId="5">
    <w:abstractNumId w:val="4"/>
  </w:num>
  <w:num w:numId="6">
    <w:abstractNumId w:val="5"/>
  </w:num>
  <w:num w:numId="7">
    <w:abstractNumId w:val="0"/>
  </w:num>
  <w:num w:numId="8">
    <w:abstractNumId w:val="2"/>
  </w:num>
  <w:num w:numId="9">
    <w:abstractNumId w:val="7"/>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72"/>
    <w:rsid w:val="000148E3"/>
    <w:rsid w:val="00157B16"/>
    <w:rsid w:val="00731B8D"/>
    <w:rsid w:val="00AE52AE"/>
    <w:rsid w:val="00B00F72"/>
    <w:rsid w:val="00C05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5588A-B20B-442B-AC5C-726755A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7580"/>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E45B69"/>
    <w:pPr>
      <w:widowControl/>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rsid w:val="002E7580"/>
    <w:tblPr>
      <w:tblInd w:w="0" w:type="dxa"/>
      <w:tblCellMar>
        <w:top w:w="0" w:type="dxa"/>
        <w:left w:w="0" w:type="dxa"/>
        <w:bottom w:w="0" w:type="dxa"/>
        <w:right w:w="0" w:type="dxa"/>
      </w:tblCellMar>
    </w:tblPr>
  </w:style>
  <w:style w:type="paragraph" w:styleId="a4">
    <w:name w:val="Body Text"/>
    <w:basedOn w:val="a"/>
    <w:uiPriority w:val="1"/>
    <w:qFormat/>
    <w:rsid w:val="002E7580"/>
    <w:rPr>
      <w:b/>
      <w:bCs/>
      <w:i/>
      <w:iCs/>
      <w:sz w:val="28"/>
      <w:szCs w:val="28"/>
    </w:rPr>
  </w:style>
  <w:style w:type="paragraph" w:styleId="a5">
    <w:name w:val="List Paragraph"/>
    <w:basedOn w:val="a"/>
    <w:uiPriority w:val="34"/>
    <w:qFormat/>
    <w:rsid w:val="002E7580"/>
  </w:style>
  <w:style w:type="paragraph" w:customStyle="1" w:styleId="TableParagraph">
    <w:name w:val="Table Paragraph"/>
    <w:basedOn w:val="a"/>
    <w:uiPriority w:val="1"/>
    <w:qFormat/>
    <w:rsid w:val="002E7580"/>
  </w:style>
  <w:style w:type="paragraph" w:styleId="a6">
    <w:name w:val="Balloon Text"/>
    <w:basedOn w:val="a"/>
    <w:link w:val="a7"/>
    <w:uiPriority w:val="99"/>
    <w:semiHidden/>
    <w:unhideWhenUsed/>
    <w:rsid w:val="004C0891"/>
    <w:rPr>
      <w:rFonts w:ascii="Tahoma" w:hAnsi="Tahoma" w:cs="Tahoma"/>
      <w:sz w:val="16"/>
      <w:szCs w:val="16"/>
    </w:rPr>
  </w:style>
  <w:style w:type="character" w:customStyle="1" w:styleId="a7">
    <w:name w:val="Текст выноски Знак"/>
    <w:basedOn w:val="a0"/>
    <w:link w:val="a6"/>
    <w:uiPriority w:val="99"/>
    <w:semiHidden/>
    <w:rsid w:val="004C0891"/>
    <w:rPr>
      <w:rFonts w:ascii="Tahoma" w:eastAsia="Arial" w:hAnsi="Tahoma" w:cs="Tahoma"/>
      <w:sz w:val="16"/>
      <w:szCs w:val="16"/>
      <w:lang w:val="uk-UA"/>
    </w:rPr>
  </w:style>
  <w:style w:type="character" w:styleId="a8">
    <w:name w:val="Hyperlink"/>
    <w:basedOn w:val="a0"/>
    <w:uiPriority w:val="99"/>
    <w:unhideWhenUsed/>
    <w:rsid w:val="004C0891"/>
    <w:rPr>
      <w:color w:val="0000FF" w:themeColor="hyperlink"/>
      <w:u w:val="single"/>
    </w:rPr>
  </w:style>
  <w:style w:type="character" w:styleId="a9">
    <w:name w:val="annotation reference"/>
    <w:basedOn w:val="a0"/>
    <w:uiPriority w:val="99"/>
    <w:semiHidden/>
    <w:unhideWhenUsed/>
    <w:rsid w:val="00EC1C8D"/>
    <w:rPr>
      <w:sz w:val="16"/>
      <w:szCs w:val="16"/>
    </w:rPr>
  </w:style>
  <w:style w:type="paragraph" w:styleId="aa">
    <w:name w:val="annotation text"/>
    <w:basedOn w:val="a"/>
    <w:link w:val="ab"/>
    <w:uiPriority w:val="99"/>
    <w:semiHidden/>
    <w:unhideWhenUsed/>
    <w:rsid w:val="00EC1C8D"/>
    <w:rPr>
      <w:sz w:val="20"/>
      <w:szCs w:val="20"/>
    </w:rPr>
  </w:style>
  <w:style w:type="character" w:customStyle="1" w:styleId="ab">
    <w:name w:val="Текст примечания Знак"/>
    <w:basedOn w:val="a0"/>
    <w:link w:val="aa"/>
    <w:uiPriority w:val="99"/>
    <w:semiHidden/>
    <w:rsid w:val="00EC1C8D"/>
    <w:rPr>
      <w:rFonts w:ascii="Arial" w:eastAsia="Arial" w:hAnsi="Arial" w:cs="Arial"/>
      <w:sz w:val="20"/>
      <w:szCs w:val="20"/>
      <w:lang w:val="uk-UA"/>
    </w:rPr>
  </w:style>
  <w:style w:type="paragraph" w:styleId="ac">
    <w:name w:val="annotation subject"/>
    <w:basedOn w:val="aa"/>
    <w:next w:val="aa"/>
    <w:link w:val="ad"/>
    <w:uiPriority w:val="99"/>
    <w:semiHidden/>
    <w:unhideWhenUsed/>
    <w:rsid w:val="00EC1C8D"/>
    <w:rPr>
      <w:b/>
      <w:bCs/>
    </w:rPr>
  </w:style>
  <w:style w:type="character" w:customStyle="1" w:styleId="ad">
    <w:name w:val="Тема примечания Знак"/>
    <w:basedOn w:val="ab"/>
    <w:link w:val="ac"/>
    <w:uiPriority w:val="99"/>
    <w:semiHidden/>
    <w:rsid w:val="00EC1C8D"/>
    <w:rPr>
      <w:rFonts w:ascii="Arial" w:eastAsia="Arial" w:hAnsi="Arial" w:cs="Arial"/>
      <w:b/>
      <w:bCs/>
      <w:sz w:val="20"/>
      <w:szCs w:val="20"/>
      <w:lang w:val="uk-UA"/>
    </w:rPr>
  </w:style>
  <w:style w:type="paragraph" w:customStyle="1" w:styleId="Default">
    <w:name w:val="Default"/>
    <w:uiPriority w:val="99"/>
    <w:rsid w:val="00584F1C"/>
    <w:pPr>
      <w:widowControl/>
      <w:adjustRightInd w:val="0"/>
    </w:pPr>
    <w:rPr>
      <w:rFonts w:ascii="Times New Roman" w:hAnsi="Times New Roman" w:cs="Times New Roman"/>
      <w:color w:val="000000"/>
      <w:sz w:val="24"/>
      <w:szCs w:val="24"/>
      <w:lang w:val="ru-RU"/>
    </w:rPr>
  </w:style>
  <w:style w:type="paragraph" w:styleId="ae">
    <w:name w:val="header"/>
    <w:basedOn w:val="a"/>
    <w:link w:val="af"/>
    <w:uiPriority w:val="99"/>
    <w:unhideWhenUsed/>
    <w:rsid w:val="007F055D"/>
    <w:pPr>
      <w:tabs>
        <w:tab w:val="center" w:pos="4677"/>
        <w:tab w:val="right" w:pos="9355"/>
      </w:tabs>
    </w:pPr>
  </w:style>
  <w:style w:type="character" w:customStyle="1" w:styleId="af">
    <w:name w:val="Верхний колонтитул Знак"/>
    <w:basedOn w:val="a0"/>
    <w:link w:val="ae"/>
    <w:uiPriority w:val="99"/>
    <w:rsid w:val="007F055D"/>
    <w:rPr>
      <w:rFonts w:ascii="Arial" w:eastAsia="Arial" w:hAnsi="Arial" w:cs="Arial"/>
      <w:lang w:val="uk-UA"/>
    </w:rPr>
  </w:style>
  <w:style w:type="paragraph" w:styleId="af0">
    <w:name w:val="footer"/>
    <w:basedOn w:val="a"/>
    <w:link w:val="af1"/>
    <w:uiPriority w:val="99"/>
    <w:unhideWhenUsed/>
    <w:rsid w:val="007F055D"/>
    <w:pPr>
      <w:tabs>
        <w:tab w:val="center" w:pos="4677"/>
        <w:tab w:val="right" w:pos="9355"/>
      </w:tabs>
    </w:pPr>
  </w:style>
  <w:style w:type="character" w:customStyle="1" w:styleId="af1">
    <w:name w:val="Нижний колонтитул Знак"/>
    <w:basedOn w:val="a0"/>
    <w:link w:val="af0"/>
    <w:uiPriority w:val="99"/>
    <w:rsid w:val="007F055D"/>
    <w:rPr>
      <w:rFonts w:ascii="Arial" w:eastAsia="Arial" w:hAnsi="Arial" w:cs="Arial"/>
      <w:lang w:val="uk-UA"/>
    </w:rPr>
  </w:style>
  <w:style w:type="character" w:customStyle="1" w:styleId="10">
    <w:name w:val="Неразрешенное упоминание1"/>
    <w:basedOn w:val="a0"/>
    <w:uiPriority w:val="99"/>
    <w:semiHidden/>
    <w:unhideWhenUsed/>
    <w:rsid w:val="003060C4"/>
    <w:rPr>
      <w:color w:val="605E5C"/>
      <w:shd w:val="clear" w:color="auto" w:fill="E1DFDD"/>
    </w:rPr>
  </w:style>
  <w:style w:type="table" w:styleId="af2">
    <w:name w:val="Table Grid"/>
    <w:basedOn w:val="a1"/>
    <w:uiPriority w:val="59"/>
    <w:unhideWhenUsed/>
    <w:rsid w:val="0035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45B69"/>
    <w:rPr>
      <w:rFonts w:ascii="Times New Roman" w:eastAsia="Times New Roman" w:hAnsi="Times New Roman" w:cs="Times New Roman"/>
      <w:b/>
      <w:bCs/>
      <w:sz w:val="36"/>
      <w:szCs w:val="36"/>
      <w:lang w:val="uk-UA" w:eastAsia="uk-UA"/>
    </w:rPr>
  </w:style>
  <w:style w:type="table" w:styleId="-1">
    <w:name w:val="Light Grid Accent 1"/>
    <w:basedOn w:val="a1"/>
    <w:uiPriority w:val="62"/>
    <w:rsid w:val="007F5E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paragraph" w:styleId="afc">
    <w:name w:val="Normal (Web)"/>
    <w:basedOn w:val="a"/>
    <w:uiPriority w:val="99"/>
    <w:unhideWhenUsed/>
    <w:rsid w:val="00157B1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gov.ua/nk/spisok3/" TargetMode="External"/><Relationship Id="rId4" Type="http://schemas.openxmlformats.org/officeDocument/2006/relationships/settings" Target="settings.xml"/><Relationship Id="rId9" Type="http://schemas.openxmlformats.org/officeDocument/2006/relationships/hyperlink" Target="mailto:IV_Zhygley@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uLu7WPmw9lP51lDryUt02LMLQ==">AMUW2mWbFY8W32eHD6pMOrAAMrlK7Nuz92Ac9K297Bayv4QT6wraSKYEJXQGdWIkcv0+ks/0f1rI48+Lh0DEpWE7fOF1hXTKXvokM6y2AV8SbOLg7Qq0s385IcFSXcZUmeC8p4slxMhg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7008</Words>
  <Characters>3995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Лаговська Олена Адамівна</cp:lastModifiedBy>
  <cp:revision>2</cp:revision>
  <dcterms:created xsi:type="dcterms:W3CDTF">2022-02-11T09:05:00Z</dcterms:created>
  <dcterms:modified xsi:type="dcterms:W3CDTF">2022-02-11T09:05:00Z</dcterms:modified>
</cp:coreProperties>
</file>