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9F" w:rsidRDefault="0090369F" w:rsidP="0090369F">
      <w:pPr>
        <w:spacing w:after="280" w:afterAutospacing="1"/>
      </w:pPr>
      <w:r>
        <w:rPr>
          <w:b/>
          <w:bCs/>
        </w:rPr>
        <w:t>Граничні суми витрат на придбання активів</w:t>
      </w:r>
    </w:p>
    <w:p w:rsidR="0090369F" w:rsidRDefault="0090369F" w:rsidP="0090369F">
      <w:pPr>
        <w:spacing w:after="280" w:afterAutospacing="1"/>
      </w:pPr>
      <w:r>
        <w:br/>
      </w:r>
      <w:r>
        <w:br/>
      </w:r>
    </w:p>
    <w:p w:rsidR="0090369F" w:rsidRDefault="0090369F" w:rsidP="0090369F">
      <w:pPr>
        <w:spacing w:after="280" w:afterAutospacing="1"/>
      </w:pPr>
      <w:r>
        <w:t xml:space="preserve">Останнім часом ціни на обладнання та устаткування, що його потребують бюджетні установи для облаштування робочих місць працівників, значно зросли. Це, своєю чергою, змусило Уряд змінити граничні суми витрат на їх придбання. </w:t>
      </w:r>
    </w:p>
    <w:p w:rsidR="0090369F" w:rsidRDefault="0090369F" w:rsidP="0090369F">
      <w:pPr>
        <w:spacing w:after="280" w:afterAutospacing="1"/>
      </w:pPr>
      <w:r>
        <w:t xml:space="preserve">Ця постанова </w:t>
      </w:r>
      <w:r>
        <w:rPr>
          <w:b/>
          <w:bCs/>
        </w:rPr>
        <w:t>змінила граничні суми витрат</w:t>
      </w:r>
      <w:r>
        <w:t xml:space="preserve"> на придбання меблів для обладнання робочих місць працівників та </w:t>
      </w:r>
      <w:proofErr w:type="spellStart"/>
      <w:r>
        <w:t>теле-</w:t>
      </w:r>
      <w:proofErr w:type="spellEnd"/>
      <w:r>
        <w:t xml:space="preserve"> і радіоапаратури, відеотехніки для службових кабінетів. Водночас з її появою </w:t>
      </w:r>
      <w:r>
        <w:rPr>
          <w:b/>
          <w:bCs/>
        </w:rPr>
        <w:t>оновлено й перелік установ</w:t>
      </w:r>
      <w:r>
        <w:t xml:space="preserve"> (органів влади), на які поширюється дія </w:t>
      </w:r>
      <w:r>
        <w:rPr>
          <w:rStyle w:val="Spanlink"/>
          <w:u w:val="single"/>
        </w:rPr>
        <w:t>постанови КМУ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і місцевих бюджетів» від 04.04.2001 № 332</w:t>
      </w:r>
      <w:r>
        <w:t xml:space="preserve"> (</w:t>
      </w:r>
      <w:r>
        <w:rPr>
          <w:i/>
          <w:iCs/>
        </w:rPr>
        <w:t>далі</w:t>
      </w:r>
      <w:r>
        <w:t xml:space="preserve"> — Постанова № 332). </w:t>
      </w:r>
    </w:p>
    <w:p w:rsidR="0090369F" w:rsidRDefault="0090369F" w:rsidP="0090369F">
      <w:pPr>
        <w:spacing w:after="280" w:afterAutospacing="1"/>
      </w:pPr>
      <w:hyperlink r:id="rId6" w:history="1">
        <w:r w:rsidRPr="007A302C">
          <w:rPr>
            <w:rStyle w:val="a3"/>
          </w:rPr>
          <w:t>https://zakon.rada.gov.ua/laws/show/332-2001-%D0%BF#Text</w:t>
        </w:r>
      </w:hyperlink>
    </w:p>
    <w:p w:rsidR="0090369F" w:rsidRDefault="0090369F" w:rsidP="0090369F">
      <w:pPr>
        <w:spacing w:after="280" w:afterAutospacing="1"/>
      </w:pPr>
    </w:p>
    <w:p w:rsidR="0090369F" w:rsidRDefault="0090369F" w:rsidP="0090369F">
      <w:pPr>
        <w:pStyle w:val="2"/>
        <w:spacing w:after="280" w:afterAutospacing="1"/>
      </w:pPr>
      <w:r>
        <w:t>Сфера застосування</w:t>
      </w:r>
    </w:p>
    <w:p w:rsidR="0090369F" w:rsidRDefault="0090369F" w:rsidP="0090369F">
      <w:pPr>
        <w:spacing w:after="280" w:afterAutospacing="1"/>
      </w:pPr>
      <w:r>
        <w:t xml:space="preserve">Однак із 26.02.2016 норми Постанови № 332 застосовуватимуть лише державні органи та установи, які </w:t>
      </w:r>
      <w:r>
        <w:rPr>
          <w:b/>
          <w:bCs/>
        </w:rPr>
        <w:t>утримуються коштом державного бюджету</w:t>
      </w:r>
      <w:r>
        <w:t xml:space="preserve">. </w:t>
      </w:r>
    </w:p>
    <w:p w:rsidR="0090369F" w:rsidRDefault="0090369F" w:rsidP="0090369F">
      <w:pPr>
        <w:spacing w:after="280" w:afterAutospacing="1"/>
      </w:pPr>
      <w:r>
        <w:t>Наразі відповідно до пункту 2 Постанови № 102 органам місцевого самоврядування рекомендовано протягом місяця затвердити з урахуванням Постанови № 332 граничні суми витрат на придбання автомобілів, меблів, іншого обладнання та устаткування, мобільних телефонів, комп’ютерів органами, а також установами та організаціями, які</w:t>
      </w:r>
      <w:r>
        <w:rPr>
          <w:b/>
          <w:bCs/>
        </w:rPr>
        <w:t xml:space="preserve"> утримуються коштом місцевих бюджетів</w:t>
      </w:r>
      <w:r>
        <w:t xml:space="preserve">. </w:t>
      </w:r>
    </w:p>
    <w:p w:rsidR="0090369F" w:rsidRDefault="0090369F" w:rsidP="0090369F">
      <w:pPr>
        <w:spacing w:after="280" w:afterAutospacing="1"/>
      </w:pPr>
    </w:p>
    <w:p w:rsidR="0090369F" w:rsidRDefault="0090369F" w:rsidP="0090369F">
      <w:pPr>
        <w:spacing w:after="280" w:afterAutospacing="1"/>
      </w:pPr>
      <w:hyperlink r:id="rId7" w:history="1">
        <w:r w:rsidRPr="007A302C">
          <w:rPr>
            <w:rStyle w:val="a3"/>
          </w:rPr>
          <w:t>https://zt-rada.gov.ua/files/upload/sitefiles/doc1539009729.pdf</w:t>
        </w:r>
      </w:hyperlink>
    </w:p>
    <w:p w:rsidR="0090369F" w:rsidRDefault="0090369F" w:rsidP="0090369F">
      <w:pPr>
        <w:spacing w:after="280" w:afterAutospacing="1"/>
      </w:pPr>
      <w:r>
        <w:t xml:space="preserve">установи, які утримуються коштом відповідного місцевого бюджету, будуть зобов’язані закуповувати обладнання та устаткування з урахуванням тих граничних сум витрат на їх придбання, які затвердить відповідний орган місцевого самоврядування. </w:t>
      </w:r>
    </w:p>
    <w:p w:rsidR="0090369F" w:rsidRDefault="0090369F" w:rsidP="0090369F">
      <w:pPr>
        <w:spacing w:after="280" w:afterAutospacing="1"/>
      </w:pPr>
      <w:hyperlink r:id="rId8" w:history="1">
        <w:r w:rsidRPr="007A302C">
          <w:rPr>
            <w:rStyle w:val="a3"/>
          </w:rPr>
          <w:t>https://zakon.rada.gov.ua/laws/show/710-2016-%D0%BF#Text</w:t>
        </w:r>
      </w:hyperlink>
    </w:p>
    <w:p w:rsidR="0090369F" w:rsidRDefault="0090369F" w:rsidP="0090369F">
      <w:pPr>
        <w:spacing w:after="280" w:afterAutospacing="1"/>
      </w:pPr>
      <w:r>
        <w:t xml:space="preserve">щодо економного та раціонального використання коштів місцевого бюджету. </w:t>
      </w:r>
    </w:p>
    <w:p w:rsidR="0090369F" w:rsidRDefault="0090369F" w:rsidP="0090369F">
      <w:pPr>
        <w:spacing w:after="280" w:afterAutospacing="1"/>
      </w:pPr>
      <w:r>
        <w:t>Оприбуткування / Визнання та первісна оцінка</w:t>
      </w:r>
    </w:p>
    <w:p w:rsidR="0090369F" w:rsidRDefault="0090369F" w:rsidP="0090369F">
      <w:pPr>
        <w:spacing w:after="280" w:afterAutospacing="1"/>
      </w:pPr>
      <w:r>
        <w:rPr>
          <w:b/>
          <w:bCs/>
        </w:rPr>
        <w:t>Визнання</w:t>
      </w:r>
    </w:p>
    <w:p w:rsidR="0090369F" w:rsidRDefault="0090369F" w:rsidP="0090369F">
      <w:pPr>
        <w:spacing w:after="280" w:afterAutospacing="1"/>
      </w:pPr>
      <w:r>
        <w:t> </w:t>
      </w:r>
    </w:p>
    <w:p w:rsidR="0090369F" w:rsidRPr="00EA2C87" w:rsidRDefault="0090369F" w:rsidP="0090369F">
      <w:pPr>
        <w:shd w:val="clear" w:color="auto" w:fill="FFFFFF"/>
        <w:rPr>
          <w:rFonts w:ascii="Georgia" w:hAnsi="Georgia"/>
          <w:color w:val="000000"/>
          <w:sz w:val="24"/>
          <w:szCs w:val="24"/>
        </w:rPr>
      </w:pPr>
      <w:r>
        <w:lastRenderedPageBreak/>
        <w:br/>
      </w:r>
      <w:r>
        <w:br/>
      </w:r>
      <w:r w:rsidRPr="00EA2C87">
        <w:rPr>
          <w:rFonts w:ascii="Georgia" w:hAnsi="Georgia"/>
          <w:color w:val="000000"/>
          <w:sz w:val="24"/>
          <w:szCs w:val="24"/>
        </w:rPr>
        <w:t xml:space="preserve">Нормативне </w:t>
      </w:r>
      <w:proofErr w:type="spellStart"/>
      <w:r w:rsidRPr="00EA2C87">
        <w:rPr>
          <w:rFonts w:ascii="Georgia" w:hAnsi="Georgia"/>
          <w:color w:val="000000"/>
          <w:sz w:val="24"/>
          <w:szCs w:val="24"/>
        </w:rPr>
        <w:t>підгрунтя</w:t>
      </w:r>
      <w:proofErr w:type="spellEnd"/>
    </w:p>
    <w:p w:rsidR="0090369F" w:rsidRDefault="0090369F" w:rsidP="0090369F">
      <w:pPr>
        <w:shd w:val="clear" w:color="auto" w:fill="FFFFFF"/>
        <w:spacing w:after="0" w:line="240" w:lineRule="auto"/>
        <w:ind w:left="450"/>
        <w:rPr>
          <w:rFonts w:ascii="Georgia" w:hAnsi="Georgia"/>
          <w:color w:val="000000"/>
          <w:sz w:val="24"/>
          <w:szCs w:val="24"/>
        </w:rPr>
      </w:pPr>
      <w:hyperlink r:id="rId9" w:history="1">
        <w:r w:rsidRPr="00EA2C87">
          <w:rPr>
            <w:rFonts w:ascii="Georgia" w:hAnsi="Georgia"/>
            <w:color w:val="1252A1"/>
            <w:sz w:val="24"/>
            <w:szCs w:val="24"/>
          </w:rPr>
          <w:t>Національне положення (стандарт) бухгалтерського обліку в державному секторі 121 «Основні засоби»</w:t>
        </w:r>
      </w:hyperlink>
    </w:p>
    <w:p w:rsidR="0090369F" w:rsidRDefault="0090369F" w:rsidP="0090369F">
      <w:pPr>
        <w:shd w:val="clear" w:color="auto" w:fill="FFFFFF"/>
        <w:spacing w:after="0" w:line="240" w:lineRule="auto"/>
        <w:ind w:left="450"/>
        <w:rPr>
          <w:rFonts w:ascii="Georgia" w:hAnsi="Georgia"/>
          <w:color w:val="000000"/>
          <w:sz w:val="24"/>
          <w:szCs w:val="24"/>
        </w:rPr>
      </w:pPr>
    </w:p>
    <w:p w:rsidR="0090369F" w:rsidRDefault="0090369F" w:rsidP="0090369F">
      <w:pPr>
        <w:shd w:val="clear" w:color="auto" w:fill="FFFFFF"/>
        <w:spacing w:after="0" w:line="240" w:lineRule="auto"/>
        <w:ind w:left="450"/>
        <w:rPr>
          <w:rFonts w:ascii="Georgia" w:hAnsi="Georgia"/>
          <w:color w:val="000000"/>
          <w:sz w:val="24"/>
          <w:szCs w:val="24"/>
        </w:rPr>
      </w:pPr>
      <w:hyperlink r:id="rId10" w:history="1">
        <w:r w:rsidRPr="007A302C">
          <w:rPr>
            <w:rStyle w:val="a3"/>
            <w:rFonts w:ascii="Georgia" w:hAnsi="Georgia"/>
            <w:sz w:val="24"/>
            <w:szCs w:val="24"/>
          </w:rPr>
          <w:t>https://zakon.rada.gov.ua/laws/show/z1017-10#Text</w:t>
        </w:r>
      </w:hyperlink>
    </w:p>
    <w:p w:rsidR="0090369F" w:rsidRPr="00EA2C87" w:rsidRDefault="0090369F" w:rsidP="0090369F">
      <w:pPr>
        <w:shd w:val="clear" w:color="auto" w:fill="FFFFFF"/>
        <w:spacing w:after="0" w:line="240" w:lineRule="auto"/>
        <w:ind w:left="450"/>
        <w:rPr>
          <w:rFonts w:ascii="Georgia" w:hAnsi="Georgia"/>
          <w:color w:val="000000"/>
          <w:sz w:val="24"/>
          <w:szCs w:val="24"/>
        </w:rPr>
      </w:pPr>
    </w:p>
    <w:p w:rsidR="0090369F" w:rsidRDefault="0090369F" w:rsidP="0090369F">
      <w:pPr>
        <w:shd w:val="clear" w:color="auto" w:fill="FFFFFF"/>
        <w:spacing w:after="0" w:line="240" w:lineRule="auto"/>
        <w:ind w:left="450"/>
        <w:rPr>
          <w:rFonts w:ascii="Georgia" w:hAnsi="Georgia"/>
          <w:color w:val="000000"/>
          <w:sz w:val="24"/>
          <w:szCs w:val="24"/>
        </w:rPr>
      </w:pPr>
      <w:hyperlink r:id="rId11" w:history="1">
        <w:r w:rsidRPr="00EA2C87">
          <w:rPr>
            <w:rFonts w:ascii="Georgia" w:hAnsi="Georgia"/>
            <w:color w:val="1252A1"/>
            <w:sz w:val="24"/>
            <w:szCs w:val="24"/>
          </w:rPr>
          <w:t>Методичні рекомендації з бухгалтерського обліку основних засобів суб’єктів державного сектору</w:t>
        </w:r>
      </w:hyperlink>
    </w:p>
    <w:p w:rsidR="0090369F" w:rsidRDefault="0090369F" w:rsidP="0090369F">
      <w:pPr>
        <w:shd w:val="clear" w:color="auto" w:fill="FFFFFF"/>
        <w:spacing w:after="0" w:line="240" w:lineRule="auto"/>
        <w:ind w:left="450"/>
        <w:rPr>
          <w:rFonts w:ascii="Georgia" w:hAnsi="Georgia"/>
          <w:color w:val="000000"/>
          <w:sz w:val="24"/>
          <w:szCs w:val="24"/>
        </w:rPr>
      </w:pPr>
    </w:p>
    <w:p w:rsidR="0090369F" w:rsidRDefault="0090369F" w:rsidP="0090369F">
      <w:pPr>
        <w:shd w:val="clear" w:color="auto" w:fill="FFFFFF"/>
        <w:spacing w:after="0" w:line="240" w:lineRule="auto"/>
        <w:ind w:left="450"/>
        <w:rPr>
          <w:rFonts w:ascii="Georgia" w:hAnsi="Georgia"/>
          <w:color w:val="000000"/>
          <w:sz w:val="24"/>
          <w:szCs w:val="24"/>
        </w:rPr>
      </w:pPr>
      <w:hyperlink r:id="rId12" w:history="1">
        <w:r w:rsidRPr="007A302C">
          <w:rPr>
            <w:rStyle w:val="a3"/>
            <w:rFonts w:ascii="Georgia" w:hAnsi="Georgia"/>
            <w:sz w:val="24"/>
            <w:szCs w:val="24"/>
          </w:rPr>
          <w:t>https://zakon.rada.gov.ua/rada/show/v0011201-15#Text</w:t>
        </w:r>
      </w:hyperlink>
    </w:p>
    <w:p w:rsidR="0090369F" w:rsidRPr="00EA2C87" w:rsidRDefault="0090369F" w:rsidP="0090369F">
      <w:pPr>
        <w:shd w:val="clear" w:color="auto" w:fill="FFFFFF"/>
        <w:spacing w:after="0" w:line="240" w:lineRule="auto"/>
        <w:ind w:left="450"/>
        <w:rPr>
          <w:rFonts w:ascii="Georgia" w:hAnsi="Georgia"/>
          <w:color w:val="000000"/>
          <w:sz w:val="24"/>
          <w:szCs w:val="24"/>
        </w:rPr>
      </w:pPr>
    </w:p>
    <w:p w:rsidR="0090369F" w:rsidRPr="00EA2C87" w:rsidRDefault="0090369F" w:rsidP="0090369F">
      <w:pPr>
        <w:shd w:val="clear" w:color="auto" w:fill="FFFFFF"/>
        <w:spacing w:after="0" w:line="240" w:lineRule="auto"/>
        <w:ind w:left="450"/>
        <w:rPr>
          <w:rFonts w:ascii="Georgia" w:hAnsi="Georgia"/>
          <w:color w:val="000000"/>
          <w:sz w:val="24"/>
          <w:szCs w:val="24"/>
        </w:rPr>
      </w:pPr>
      <w:hyperlink r:id="rId13" w:history="1">
        <w:r w:rsidRPr="00EA2C87">
          <w:rPr>
            <w:rFonts w:ascii="Georgia" w:hAnsi="Georgia"/>
            <w:color w:val="1252A1"/>
            <w:sz w:val="24"/>
            <w:szCs w:val="24"/>
          </w:rPr>
          <w:t>Методич</w:t>
        </w:r>
        <w:r w:rsidRPr="00EA2C87">
          <w:rPr>
            <w:rFonts w:ascii="Georgia" w:hAnsi="Georgia"/>
            <w:color w:val="1252A1"/>
            <w:sz w:val="24"/>
            <w:szCs w:val="24"/>
          </w:rPr>
          <w:t>н</w:t>
        </w:r>
        <w:r w:rsidRPr="00EA2C87">
          <w:rPr>
            <w:rFonts w:ascii="Georgia" w:hAnsi="Georgia"/>
            <w:color w:val="1252A1"/>
            <w:sz w:val="24"/>
            <w:szCs w:val="24"/>
          </w:rPr>
          <w:t>і рекомендації щодо облікової політики суб’єкта державного сектору</w:t>
        </w:r>
      </w:hyperlink>
    </w:p>
    <w:p w:rsidR="0090369F" w:rsidRDefault="0090369F" w:rsidP="0090369F">
      <w:pPr>
        <w:spacing w:after="280" w:afterAutospacing="1"/>
      </w:pPr>
      <w:r w:rsidRPr="00EA2C87">
        <w:t>https://zakon.rada.gov.ua/rada/show/v0011201-15#Text</w:t>
      </w:r>
    </w:p>
    <w:p w:rsidR="0090369F" w:rsidRDefault="0090369F" w:rsidP="0090369F">
      <w:pPr>
        <w:spacing w:after="280" w:afterAutospacing="1"/>
      </w:pPr>
      <w:r>
        <w:t xml:space="preserve">Відповідно до пункту 1 розділу ІІ Національного положення (стандарту) бухгалтерського обліку в державному секторі 121 «Основні засоби», затвердженого </w:t>
      </w:r>
      <w:r>
        <w:rPr>
          <w:rStyle w:val="Spanlink"/>
          <w:u w:val="single"/>
        </w:rPr>
        <w:t>наказом Мінфіну від 12.10.2010 № 1202</w:t>
      </w:r>
      <w:r>
        <w:t xml:space="preserve"> (</w:t>
      </w:r>
      <w:r>
        <w:rPr>
          <w:i/>
          <w:iCs/>
        </w:rPr>
        <w:t>далі </w:t>
      </w:r>
      <w:r>
        <w:t xml:space="preserve">— НП(с)БОДС 121) одиницею обліку основних засобів є об’єкт основних засобів, а саме: </w:t>
      </w:r>
    </w:p>
    <w:p w:rsidR="0090369F" w:rsidRDefault="0090369F" w:rsidP="0090369F">
      <w:pPr>
        <w:pStyle w:val="Ul"/>
        <w:numPr>
          <w:ilvl w:val="0"/>
          <w:numId w:val="1"/>
        </w:numPr>
      </w:pPr>
      <w:r>
        <w:t>закінчений пристрій з усіма пристосуваннями і приладдям до нього;</w:t>
      </w:r>
    </w:p>
    <w:p w:rsidR="0090369F" w:rsidRDefault="0090369F" w:rsidP="0090369F">
      <w:pPr>
        <w:pStyle w:val="Ul"/>
        <w:numPr>
          <w:ilvl w:val="0"/>
          <w:numId w:val="1"/>
        </w:numPr>
      </w:pPr>
      <w:r>
        <w:t xml:space="preserve">конструктивно відокремлений предмет, призначений для виконання певних самостійних функцій; </w:t>
      </w:r>
    </w:p>
    <w:p w:rsidR="0090369F" w:rsidRDefault="0090369F" w:rsidP="0090369F">
      <w:pPr>
        <w:pStyle w:val="Ul"/>
        <w:numPr>
          <w:ilvl w:val="0"/>
          <w:numId w:val="1"/>
        </w:numPr>
      </w:pPr>
      <w:r>
        <w:t xml:space="preserve">відокремлений комплекс конструктивно з’єднаних предметів однакового або різного призначення, що мають для їх обслуговування загальні пристосування, приладдя, 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 </w:t>
      </w:r>
    </w:p>
    <w:p w:rsidR="0090369F" w:rsidRDefault="0090369F" w:rsidP="0090369F">
      <w:pPr>
        <w:pStyle w:val="Ul"/>
        <w:numPr>
          <w:ilvl w:val="0"/>
          <w:numId w:val="1"/>
        </w:numPr>
        <w:spacing w:after="280" w:afterAutospacing="1"/>
      </w:pPr>
      <w:r>
        <w:t xml:space="preserve">інший актив, що відповідає визначенню основних засобів, або частина такого активу, що контролюється суб’єктом державного сектору. </w:t>
      </w:r>
    </w:p>
    <w:p w:rsidR="0090369F" w:rsidRDefault="0090369F" w:rsidP="0090369F">
      <w:pPr>
        <w:spacing w:after="280" w:afterAutospacing="1"/>
      </w:pPr>
      <w:r>
        <w:t xml:space="preserve">якщо один об’єкт основних засобів складається з частин, які мають різний строк корисного використання (експлуатації), то кожна з цих частин може визнаватися в бухгалтерському обліку як окремий об’єкт основних засобів. </w:t>
      </w:r>
    </w:p>
    <w:p w:rsidR="0090369F" w:rsidRDefault="0090369F" w:rsidP="0090369F">
      <w:pPr>
        <w:spacing w:after="280" w:afterAutospacing="1"/>
      </w:pPr>
      <w:r>
        <w:t xml:space="preserve">Об’єкт основних засобів визнають (п. 2 </w:t>
      </w:r>
      <w:proofErr w:type="spellStart"/>
      <w:r>
        <w:t>розд</w:t>
      </w:r>
      <w:proofErr w:type="spellEnd"/>
      <w:r>
        <w:t xml:space="preserve">. ІІ НП(с)БОДС 121 та п. 4 </w:t>
      </w:r>
      <w:proofErr w:type="spellStart"/>
      <w:r>
        <w:t>розд</w:t>
      </w:r>
      <w:proofErr w:type="spellEnd"/>
      <w:r>
        <w:t xml:space="preserve">. І Методичних рекомендацій з бухгалтерського обліку основних засобів суб’єктів державного сектору затверджених </w:t>
      </w:r>
      <w:r>
        <w:rPr>
          <w:rStyle w:val="Spanlink"/>
          <w:u w:val="single"/>
        </w:rPr>
        <w:t>наказом Мінфіну від 23.01.2015 № 11</w:t>
      </w:r>
      <w:r>
        <w:t xml:space="preserve">; </w:t>
      </w:r>
      <w:r>
        <w:rPr>
          <w:i/>
          <w:iCs/>
        </w:rPr>
        <w:t>далі </w:t>
      </w:r>
      <w:r>
        <w:t xml:space="preserve">— </w:t>
      </w:r>
      <w:proofErr w:type="spellStart"/>
      <w:r>
        <w:t>Методрекомендації</w:t>
      </w:r>
      <w:proofErr w:type="spellEnd"/>
      <w:r>
        <w:t xml:space="preserve"> до НП(с)БОДС 121) активом, коли: </w:t>
      </w:r>
    </w:p>
    <w:p w:rsidR="0090369F" w:rsidRDefault="0090369F" w:rsidP="0090369F">
      <w:pPr>
        <w:pStyle w:val="Ul"/>
        <w:numPr>
          <w:ilvl w:val="0"/>
          <w:numId w:val="2"/>
        </w:numPr>
      </w:pPr>
      <w:r>
        <w:t xml:space="preserve">існує ймовірність отримання суб’єктом державного сектору майбутніх економічних вигід, пов’язаних з його використанням, та/або він має потенціал корисності для суспільства; </w:t>
      </w:r>
    </w:p>
    <w:p w:rsidR="0090369F" w:rsidRDefault="0090369F" w:rsidP="0090369F">
      <w:pPr>
        <w:pStyle w:val="Ul"/>
        <w:numPr>
          <w:ilvl w:val="0"/>
          <w:numId w:val="2"/>
        </w:numPr>
        <w:spacing w:after="280" w:afterAutospacing="1"/>
      </w:pPr>
      <w:r>
        <w:t>вартість об’єкта основних засобів може бути визначена.</w:t>
      </w:r>
    </w:p>
    <w:p w:rsidR="0090369F" w:rsidRDefault="0090369F" w:rsidP="0090369F">
      <w:pPr>
        <w:spacing w:after="280" w:afterAutospacing="1"/>
      </w:pPr>
      <w:r>
        <w:t xml:space="preserve">Відповідно до пункту 3 розділу ІІ НП(с)БОДС 121, для цілей бухгалтерського обліку основні засоби класифікуються за такими групами: </w:t>
      </w:r>
    </w:p>
    <w:p w:rsidR="0090369F" w:rsidRDefault="0090369F" w:rsidP="0090369F">
      <w:pPr>
        <w:pStyle w:val="Ul"/>
        <w:numPr>
          <w:ilvl w:val="0"/>
          <w:numId w:val="3"/>
        </w:numPr>
      </w:pPr>
      <w:r>
        <w:t>основні засоби;</w:t>
      </w:r>
    </w:p>
    <w:p w:rsidR="0090369F" w:rsidRDefault="0090369F" w:rsidP="0090369F">
      <w:pPr>
        <w:pStyle w:val="Ul"/>
        <w:numPr>
          <w:ilvl w:val="0"/>
          <w:numId w:val="3"/>
        </w:numPr>
        <w:spacing w:after="280" w:afterAutospacing="1"/>
      </w:pPr>
      <w:r>
        <w:t>інші необоротні матеріальні активи, до яких відносять, зокрема, малоцінні необоротні матеріальні активи (</w:t>
      </w:r>
      <w:r>
        <w:rPr>
          <w:i/>
          <w:iCs/>
        </w:rPr>
        <w:t>далі </w:t>
      </w:r>
      <w:r>
        <w:t xml:space="preserve">— МНМА). </w:t>
      </w:r>
    </w:p>
    <w:p w:rsidR="0090369F" w:rsidRDefault="0090369F" w:rsidP="0090369F">
      <w:pPr>
        <w:spacing w:after="280" w:afterAutospacing="1"/>
      </w:pPr>
      <w:r>
        <w:t xml:space="preserve">Тому НП(с)БОДС 121 встановлює певні ознаки, за якими матеріальні цінності, у разі придбання або отримання без оплати, відносять до зазначених груп основних засобів. </w:t>
      </w:r>
    </w:p>
    <w:p w:rsidR="0090369F" w:rsidRDefault="0090369F" w:rsidP="0090369F">
      <w:pPr>
        <w:spacing w:after="280" w:afterAutospacing="1"/>
      </w:pPr>
      <w:r>
        <w:lastRenderedPageBreak/>
        <w:t xml:space="preserve">  </w:t>
      </w:r>
    </w:p>
    <w:p w:rsidR="0090369F" w:rsidRDefault="0090369F" w:rsidP="0090369F">
      <w:pPr>
        <w:spacing w:after="280" w:afterAutospacing="1"/>
      </w:pPr>
      <w:r>
        <w:rPr>
          <w:b/>
          <w:bCs/>
        </w:rPr>
        <w:t>Первісна оцінка</w:t>
      </w:r>
    </w:p>
    <w:p w:rsidR="0090369F" w:rsidRDefault="0090369F" w:rsidP="0090369F">
      <w:pPr>
        <w:spacing w:after="280" w:afterAutospacing="1"/>
      </w:pPr>
      <w:r>
        <w:br/>
      </w:r>
      <w:r>
        <w:br/>
      </w:r>
    </w:p>
    <w:p w:rsidR="0090369F" w:rsidRDefault="0090369F" w:rsidP="0090369F">
      <w:pPr>
        <w:spacing w:after="280" w:afterAutospacing="1"/>
      </w:pPr>
      <w:r>
        <w:t xml:space="preserve">Об’єкт основних засобів оцінюють за первісною вартістю, якою згідно з пунктом 4 розділу ІІ НП(с)БОДС 121 є: </w:t>
      </w:r>
    </w:p>
    <w:p w:rsidR="0090369F" w:rsidRDefault="0090369F" w:rsidP="0090369F">
      <w:pPr>
        <w:pStyle w:val="Ul"/>
        <w:numPr>
          <w:ilvl w:val="0"/>
          <w:numId w:val="1"/>
        </w:numPr>
      </w:pPr>
      <w:r>
        <w:t>вартість придбання у разі придбання за плату;</w:t>
      </w:r>
    </w:p>
    <w:p w:rsidR="0090369F" w:rsidRDefault="0090369F" w:rsidP="0090369F">
      <w:pPr>
        <w:pStyle w:val="Ul"/>
        <w:numPr>
          <w:ilvl w:val="0"/>
          <w:numId w:val="1"/>
        </w:numPr>
      </w:pPr>
      <w:r>
        <w:t>собівартість виробництва у разі самостійного виготовлення (створення);</w:t>
      </w:r>
    </w:p>
    <w:p w:rsidR="0090369F" w:rsidRDefault="0090369F" w:rsidP="0090369F">
      <w:pPr>
        <w:pStyle w:val="Ul"/>
        <w:numPr>
          <w:ilvl w:val="0"/>
          <w:numId w:val="1"/>
        </w:numPr>
      </w:pPr>
      <w:r>
        <w:t xml:space="preserve">справедлива вартість у разі отримання без оплати від фізичних та юридичних осіб (крім суб’єктів державного сектору); </w:t>
      </w:r>
    </w:p>
    <w:p w:rsidR="0090369F" w:rsidRDefault="0090369F" w:rsidP="0090369F">
      <w:pPr>
        <w:pStyle w:val="Ul"/>
        <w:numPr>
          <w:ilvl w:val="0"/>
          <w:numId w:val="1"/>
        </w:numPr>
      </w:pPr>
      <w:r>
        <w:t xml:space="preserve">первісна (переоцінена) вартість основних засобів у разі отримання без оплати від суб’єктів державного сектору; </w:t>
      </w:r>
    </w:p>
    <w:p w:rsidR="0090369F" w:rsidRDefault="0090369F" w:rsidP="0090369F">
      <w:pPr>
        <w:pStyle w:val="Ul"/>
        <w:numPr>
          <w:ilvl w:val="0"/>
          <w:numId w:val="1"/>
        </w:numPr>
      </w:pPr>
      <w:r>
        <w:t xml:space="preserve">залишкова вартість переданого об’єкта основних засобів у разі отримання у результаті обміну на інший актив; </w:t>
      </w:r>
    </w:p>
    <w:p w:rsidR="0090369F" w:rsidRDefault="0090369F" w:rsidP="0090369F">
      <w:pPr>
        <w:pStyle w:val="Ul"/>
        <w:numPr>
          <w:ilvl w:val="0"/>
          <w:numId w:val="1"/>
        </w:numPr>
        <w:spacing w:after="280" w:afterAutospacing="1"/>
      </w:pPr>
      <w:r>
        <w:t>умовна вартість у разі відсутності активного ринку.</w:t>
      </w:r>
    </w:p>
    <w:p w:rsidR="0090369F" w:rsidRDefault="0090369F" w:rsidP="0090369F">
      <w:pPr>
        <w:spacing w:after="280" w:afterAutospacing="1"/>
      </w:pPr>
      <w:r>
        <w:t xml:space="preserve">Підпункт 14.1.138 </w:t>
      </w:r>
      <w:r>
        <w:rPr>
          <w:rStyle w:val="Spanlink"/>
          <w:u w:val="single"/>
        </w:rPr>
        <w:t>Податкового кодексу України</w:t>
      </w:r>
      <w:r>
        <w:t xml:space="preserve"> (ПК) передбачає, що до основних засобів відносять матеріальні активи, вартість яких перевищує 6000 грн. Підпунктом 3.2.3 НП(с)БОДС 121 визначено, що до МНМА зараховують предмети вартістю (без ПДВ), що не перевищує 6000 гривень, та строк використання яких перевищує один рік. </w:t>
      </w:r>
    </w:p>
    <w:p w:rsidR="007B24EB" w:rsidRDefault="007B24EB">
      <w:bookmarkStart w:id="0" w:name="_GoBack"/>
      <w:bookmarkEnd w:id="0"/>
    </w:p>
    <w:sectPr w:rsidR="007B24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9F"/>
    <w:rsid w:val="001259AE"/>
    <w:rsid w:val="006E6F52"/>
    <w:rsid w:val="007B24EB"/>
    <w:rsid w:val="009036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9F"/>
    <w:pPr>
      <w:spacing w:after="60" w:line="300" w:lineRule="atLeast"/>
    </w:pPr>
    <w:rPr>
      <w:rFonts w:ascii="Times New Roman" w:eastAsia="Times New Roman" w:hAnsi="Times New Roman" w:cs="Times New Roman"/>
      <w:lang w:eastAsia="uk-UA"/>
    </w:rPr>
  </w:style>
  <w:style w:type="paragraph" w:styleId="2">
    <w:name w:val="heading 2"/>
    <w:basedOn w:val="a"/>
    <w:next w:val="a"/>
    <w:link w:val="20"/>
    <w:qFormat/>
    <w:rsid w:val="0090369F"/>
    <w:pPr>
      <w:keepNext/>
      <w:spacing w:before="360" w:after="0" w:line="380" w:lineRule="atLeast"/>
      <w:outlineLvl w:val="1"/>
    </w:pPr>
    <w:rPr>
      <w:rFonts w:ascii="Arial" w:eastAsia="Arial" w:hAnsi="Arial" w:cs="Arial"/>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369F"/>
    <w:rPr>
      <w:rFonts w:ascii="Arial" w:eastAsia="Arial" w:hAnsi="Arial" w:cs="Arial"/>
      <w:sz w:val="34"/>
      <w:szCs w:val="34"/>
      <w:lang w:eastAsia="uk-UA"/>
    </w:rPr>
  </w:style>
  <w:style w:type="paragraph" w:customStyle="1" w:styleId="Ul">
    <w:name w:val="Ul"/>
    <w:basedOn w:val="a"/>
    <w:rsid w:val="0090369F"/>
    <w:pPr>
      <w:spacing w:after="0"/>
    </w:pPr>
  </w:style>
  <w:style w:type="character" w:customStyle="1" w:styleId="Spanlink">
    <w:name w:val="Span_link"/>
    <w:rsid w:val="0090369F"/>
    <w:rPr>
      <w:color w:val="008200"/>
    </w:rPr>
  </w:style>
  <w:style w:type="character" w:styleId="a3">
    <w:name w:val="Hyperlink"/>
    <w:rsid w:val="009036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9F"/>
    <w:pPr>
      <w:spacing w:after="60" w:line="300" w:lineRule="atLeast"/>
    </w:pPr>
    <w:rPr>
      <w:rFonts w:ascii="Times New Roman" w:eastAsia="Times New Roman" w:hAnsi="Times New Roman" w:cs="Times New Roman"/>
      <w:lang w:eastAsia="uk-UA"/>
    </w:rPr>
  </w:style>
  <w:style w:type="paragraph" w:styleId="2">
    <w:name w:val="heading 2"/>
    <w:basedOn w:val="a"/>
    <w:next w:val="a"/>
    <w:link w:val="20"/>
    <w:qFormat/>
    <w:rsid w:val="0090369F"/>
    <w:pPr>
      <w:keepNext/>
      <w:spacing w:before="360" w:after="0" w:line="380" w:lineRule="atLeast"/>
      <w:outlineLvl w:val="1"/>
    </w:pPr>
    <w:rPr>
      <w:rFonts w:ascii="Arial" w:eastAsia="Arial" w:hAnsi="Arial" w:cs="Arial"/>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369F"/>
    <w:rPr>
      <w:rFonts w:ascii="Arial" w:eastAsia="Arial" w:hAnsi="Arial" w:cs="Arial"/>
      <w:sz w:val="34"/>
      <w:szCs w:val="34"/>
      <w:lang w:eastAsia="uk-UA"/>
    </w:rPr>
  </w:style>
  <w:style w:type="paragraph" w:customStyle="1" w:styleId="Ul">
    <w:name w:val="Ul"/>
    <w:basedOn w:val="a"/>
    <w:rsid w:val="0090369F"/>
    <w:pPr>
      <w:spacing w:after="0"/>
    </w:pPr>
  </w:style>
  <w:style w:type="character" w:customStyle="1" w:styleId="Spanlink">
    <w:name w:val="Span_link"/>
    <w:rsid w:val="0090369F"/>
    <w:rPr>
      <w:color w:val="008200"/>
    </w:rPr>
  </w:style>
  <w:style w:type="character" w:styleId="a3">
    <w:name w:val="Hyperlink"/>
    <w:rsid w:val="00903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10-2016-%D0%BF#Text" TargetMode="External"/><Relationship Id="rId13" Type="http://schemas.openxmlformats.org/officeDocument/2006/relationships/hyperlink" Target="https://ebudget.mcfr.ua/488356" TargetMode="External"/><Relationship Id="rId3" Type="http://schemas.microsoft.com/office/2007/relationships/stylesWithEffects" Target="stylesWithEffects.xml"/><Relationship Id="rId7" Type="http://schemas.openxmlformats.org/officeDocument/2006/relationships/hyperlink" Target="https://zt-rada.gov.ua/files/upload/sitefiles/doc1539009729.pdf" TargetMode="External"/><Relationship Id="rId12" Type="http://schemas.openxmlformats.org/officeDocument/2006/relationships/hyperlink" Target="https://zakon.rada.gov.ua/rada/show/v0011201-15#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32-2001-%D0%BF#Text" TargetMode="External"/><Relationship Id="rId11" Type="http://schemas.openxmlformats.org/officeDocument/2006/relationships/hyperlink" Target="https://ebudget.mcfr.ua/48835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z1017-10#Text" TargetMode="External"/><Relationship Id="rId4" Type="http://schemas.openxmlformats.org/officeDocument/2006/relationships/settings" Target="settings.xml"/><Relationship Id="rId9" Type="http://schemas.openxmlformats.org/officeDocument/2006/relationships/hyperlink" Target="https://ebudget.mcfr.ua/4881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3736</Words>
  <Characters>2131</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1</cp:revision>
  <dcterms:created xsi:type="dcterms:W3CDTF">2022-02-14T09:31:00Z</dcterms:created>
  <dcterms:modified xsi:type="dcterms:W3CDTF">2022-02-14T09:32:00Z</dcterms:modified>
</cp:coreProperties>
</file>