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29E5" w14:textId="309021B7" w:rsidR="000A6CFD" w:rsidRPr="00964EE9" w:rsidRDefault="00964EE9" w:rsidP="00964EE9">
      <w:pPr>
        <w:jc w:val="center"/>
        <w:rPr>
          <w:lang w:val="uk-UA"/>
        </w:rPr>
      </w:pPr>
      <w:r>
        <w:rPr>
          <w:lang w:val="uk-UA"/>
        </w:rPr>
        <w:t xml:space="preserve">Від 8.09.21   18:30-19:50 </w:t>
      </w:r>
      <w:proofErr w:type="spellStart"/>
      <w:r>
        <w:rPr>
          <w:lang w:val="uk-UA"/>
        </w:rPr>
        <w:t>ауд</w:t>
      </w:r>
      <w:proofErr w:type="spellEnd"/>
      <w:r>
        <w:rPr>
          <w:lang w:val="uk-UA"/>
        </w:rPr>
        <w:t xml:space="preserve"> 8</w:t>
      </w:r>
    </w:p>
    <w:p w14:paraId="635DD41F" w14:textId="0F0241B7" w:rsidR="00927F0C" w:rsidRDefault="00964EE9" w:rsidP="00992CC1">
      <w:pPr>
        <w:ind w:left="720"/>
        <w:jc w:val="center"/>
      </w:pPr>
      <w:r>
        <w:rPr>
          <w:b/>
          <w:snapToGrid w:val="0"/>
          <w:sz w:val="22"/>
          <w:lang w:val="uk-UA"/>
        </w:rPr>
        <w:t>Лекція</w:t>
      </w:r>
      <w:r w:rsidR="00927F0C">
        <w:rPr>
          <w:b/>
        </w:rPr>
        <w:t xml:space="preserve"> 2.</w:t>
      </w:r>
      <w:r w:rsidR="00927F0C">
        <w:t xml:space="preserve"> </w:t>
      </w:r>
      <w:r w:rsidR="00927F0C">
        <w:rPr>
          <w:b/>
          <w:snapToGrid w:val="0"/>
          <w:sz w:val="22"/>
          <w:lang w:val="uk-UA"/>
        </w:rPr>
        <w:t>ОСНОВНІ ПОЛОЖЕННЯ ТА ВИЗНАЧЕННЯ ПЕРЕТВОРЮЮЧИХ ПРИСТРОЇВ ПРИЛАДІВ</w:t>
      </w:r>
      <w:r w:rsidR="00A61D19">
        <w:rPr>
          <w:b/>
          <w:snapToGrid w:val="0"/>
          <w:sz w:val="22"/>
          <w:lang w:val="uk-UA"/>
        </w:rPr>
        <w:t xml:space="preserve"> ТЗА</w:t>
      </w:r>
    </w:p>
    <w:p w14:paraId="219F977C" w14:textId="77777777" w:rsidR="00927F0C" w:rsidRDefault="00927F0C" w:rsidP="00927F0C">
      <w:pPr>
        <w:pStyle w:val="2"/>
      </w:pPr>
      <w:r>
        <w:t>2.1. Загальні положення та визначення</w:t>
      </w:r>
    </w:p>
    <w:p w14:paraId="02832AF2" w14:textId="6C937454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Сучасні засоби вимірювання складаються з вимірювальних перетворювачів</w:t>
      </w:r>
      <w:r w:rsidR="00A61D19">
        <w:rPr>
          <w:snapToGrid w:val="0"/>
          <w:sz w:val="22"/>
          <w:lang w:val="uk-UA"/>
        </w:rPr>
        <w:t xml:space="preserve"> ТЗА</w:t>
      </w:r>
      <w:r>
        <w:rPr>
          <w:snapToGrid w:val="0"/>
          <w:sz w:val="22"/>
          <w:lang w:val="uk-UA"/>
        </w:rPr>
        <w:t>, певним чином пов'язаних між собою (рис. 2.1).</w:t>
      </w:r>
    </w:p>
    <w:p w14:paraId="7D13308B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</w:p>
    <w:p w14:paraId="643A5243" w14:textId="71011E96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rPr>
          <w:noProof/>
          <w:lang w:val="uk-UA"/>
        </w:rPr>
        <w:drawing>
          <wp:inline distT="0" distB="0" distL="0" distR="0" wp14:anchorId="6937F39B" wp14:editId="0FC76F2F">
            <wp:extent cx="39624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B85F" w14:textId="77777777" w:rsidR="00927F0C" w:rsidRDefault="00927F0C" w:rsidP="00927F0C">
      <w:pPr>
        <w:pStyle w:val="ris"/>
      </w:pPr>
      <w:r>
        <w:t>Рис. 2.1. Функціональна схема засобу вимірювання</w:t>
      </w:r>
    </w:p>
    <w:p w14:paraId="4817DAC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Первинна інформація </w:t>
      </w:r>
      <w:proofErr w:type="spellStart"/>
      <w:r>
        <w:rPr>
          <w:i/>
          <w:snapToGrid w:val="0"/>
          <w:sz w:val="22"/>
          <w:lang w:val="uk-UA"/>
        </w:rPr>
        <w:t>x</w:t>
      </w:r>
      <w:r>
        <w:rPr>
          <w:i/>
          <w:snapToGrid w:val="0"/>
          <w:sz w:val="22"/>
          <w:vertAlign w:val="subscript"/>
          <w:lang w:val="uk-UA"/>
        </w:rPr>
        <w:t>вх</w:t>
      </w:r>
      <w:proofErr w:type="spellEnd"/>
      <w:r>
        <w:rPr>
          <w:snapToGrid w:val="0"/>
          <w:sz w:val="22"/>
          <w:lang w:val="uk-UA"/>
        </w:rPr>
        <w:t xml:space="preserve"> надходить на вхід первинного вимірювального перетворювача (ПВП), який функціонально пов'язаний з проміжними вимірювальними перетворювачами (ПрВП</w:t>
      </w:r>
      <w:r>
        <w:rPr>
          <w:snapToGrid w:val="0"/>
          <w:sz w:val="22"/>
          <w:vertAlign w:val="subscript"/>
          <w:lang w:val="uk-UA"/>
        </w:rPr>
        <w:t>1</w:t>
      </w:r>
      <w:r>
        <w:rPr>
          <w:snapToGrid w:val="0"/>
          <w:sz w:val="22"/>
          <w:lang w:val="uk-UA"/>
        </w:rPr>
        <w:t>, ПрВП</w:t>
      </w:r>
      <w:r>
        <w:rPr>
          <w:snapToGrid w:val="0"/>
          <w:sz w:val="22"/>
          <w:vertAlign w:val="subscript"/>
          <w:lang w:val="uk-UA"/>
        </w:rPr>
        <w:t>2</w:t>
      </w:r>
      <w:r>
        <w:rPr>
          <w:snapToGrid w:val="0"/>
          <w:sz w:val="22"/>
          <w:lang w:val="uk-UA"/>
        </w:rPr>
        <w:t xml:space="preserve">, ..., </w:t>
      </w:r>
      <w:proofErr w:type="spellStart"/>
      <w:r>
        <w:rPr>
          <w:snapToGrid w:val="0"/>
          <w:sz w:val="22"/>
          <w:lang w:val="uk-UA"/>
        </w:rPr>
        <w:t>ПрВП</w:t>
      </w:r>
      <w:r>
        <w:rPr>
          <w:i/>
          <w:snapToGrid w:val="0"/>
          <w:sz w:val="22"/>
          <w:vertAlign w:val="subscript"/>
          <w:lang w:val="uk-UA"/>
        </w:rPr>
        <w:t>N</w:t>
      </w:r>
      <w:proofErr w:type="spellEnd"/>
      <w:r>
        <w:rPr>
          <w:snapToGrid w:val="0"/>
          <w:sz w:val="22"/>
          <w:lang w:val="uk-UA"/>
        </w:rPr>
        <w:t xml:space="preserve">) так, що вихідна величина </w:t>
      </w:r>
      <w:r>
        <w:rPr>
          <w:snapToGrid w:val="0"/>
          <w:position w:val="-10"/>
          <w:sz w:val="22"/>
          <w:lang w:val="uk-UA"/>
        </w:rPr>
        <w:object w:dxaOrig="1460" w:dyaOrig="320" w14:anchorId="22897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45pt;height:15.35pt" o:ole="" fillcolor="window">
            <v:imagedata r:id="rId6" o:title=""/>
          </v:shape>
          <o:OLEObject Type="Embed" ProgID="Equation.3" ShapeID="_x0000_i1025" DrawAspect="Content" ObjectID="_1692462560" r:id="rId7"/>
        </w:object>
      </w:r>
      <w:r>
        <w:rPr>
          <w:snapToGrid w:val="0"/>
          <w:sz w:val="22"/>
          <w:lang w:val="uk-UA"/>
        </w:rPr>
        <w:t xml:space="preserve"> (рис. 2.1).</w:t>
      </w:r>
    </w:p>
    <w:p w14:paraId="5631861F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Поточне значення </w:t>
      </w:r>
      <w:r>
        <w:rPr>
          <w:snapToGrid w:val="0"/>
          <w:position w:val="-10"/>
          <w:sz w:val="22"/>
          <w:lang w:val="uk-UA"/>
        </w:rPr>
        <w:object w:dxaOrig="660" w:dyaOrig="320" w14:anchorId="0FF5535E">
          <v:shape id="_x0000_i1026" type="#_x0000_t75" style="width:33.25pt;height:15.35pt" o:ole="" fillcolor="window">
            <v:imagedata r:id="rId8" o:title=""/>
          </v:shape>
          <o:OLEObject Type="Embed" ProgID="Equation.3" ShapeID="_x0000_i1026" DrawAspect="Content" ObjectID="_1692462561" r:id="rId9"/>
        </w:object>
      </w:r>
      <w:r>
        <w:rPr>
          <w:snapToGrid w:val="0"/>
          <w:sz w:val="22"/>
          <w:lang w:val="uk-UA"/>
        </w:rPr>
        <w:t xml:space="preserve"> може подаватися на відліковий (ВП) і </w:t>
      </w:r>
      <w:proofErr w:type="spellStart"/>
      <w:r>
        <w:rPr>
          <w:snapToGrid w:val="0"/>
          <w:sz w:val="22"/>
          <w:lang w:val="uk-UA"/>
        </w:rPr>
        <w:t>реєструючий</w:t>
      </w:r>
      <w:proofErr w:type="spellEnd"/>
      <w:r>
        <w:rPr>
          <w:snapToGrid w:val="0"/>
          <w:sz w:val="22"/>
          <w:lang w:val="uk-UA"/>
        </w:rPr>
        <w:t xml:space="preserve"> (РП) пристрої, на вхід системи автоматичного керування (САК) або на інші системи, в яких використовується інформація </w:t>
      </w:r>
      <w:r>
        <w:rPr>
          <w:snapToGrid w:val="0"/>
          <w:position w:val="-10"/>
          <w:sz w:val="22"/>
          <w:lang w:val="uk-UA"/>
        </w:rPr>
        <w:object w:dxaOrig="660" w:dyaOrig="320" w14:anchorId="518C065A">
          <v:shape id="_x0000_i1027" type="#_x0000_t75" style="width:33.25pt;height:15.35pt" o:ole="" fillcolor="window">
            <v:imagedata r:id="rId10" o:title=""/>
          </v:shape>
          <o:OLEObject Type="Embed" ProgID="Equation.3" ShapeID="_x0000_i1027" DrawAspect="Content" ObjectID="_1692462562" r:id="rId11"/>
        </w:object>
      </w:r>
      <w:r>
        <w:rPr>
          <w:snapToGrid w:val="0"/>
          <w:sz w:val="22"/>
          <w:lang w:val="uk-UA"/>
        </w:rPr>
        <w:t>.</w:t>
      </w:r>
    </w:p>
    <w:p w14:paraId="44F32E13" w14:textId="546BB00F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Вимірювальний перетворювач – це засіб вимірювань, призначений для вироблення сигналу вимірювальної інформації у формі, зручній для передавання, подальшого перетворення та зберігання, але такої, що не може безпосередньо сприйматися спостерігачем.</w:t>
      </w:r>
    </w:p>
    <w:p w14:paraId="403B6E70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прикладу розглянемо найпростіший однокомпонентний вимірювач (акселерометр) лінійних прискорень </w:t>
      </w:r>
      <w:r>
        <w:rPr>
          <w:i/>
          <w:snapToGrid w:val="0"/>
          <w:sz w:val="22"/>
          <w:lang w:val="uk-UA"/>
        </w:rPr>
        <w:t>a</w:t>
      </w:r>
      <w:r>
        <w:rPr>
          <w:snapToGrid w:val="0"/>
          <w:sz w:val="22"/>
          <w:lang w:val="uk-UA"/>
        </w:rPr>
        <w:t xml:space="preserve"> маятникового типу (рис. 2.2), функціональну схему якого зображено на рис. 2.3.</w:t>
      </w:r>
    </w:p>
    <w:p w14:paraId="430888D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точка підвісу маятника рухатиметься з прискоренням </w:t>
      </w:r>
      <w:r>
        <w:rPr>
          <w:i/>
          <w:snapToGrid w:val="0"/>
          <w:sz w:val="22"/>
          <w:lang w:val="uk-UA"/>
        </w:rPr>
        <w:t>а,</w:t>
      </w:r>
      <w:r>
        <w:rPr>
          <w:snapToGrid w:val="0"/>
          <w:sz w:val="22"/>
          <w:lang w:val="uk-UA"/>
        </w:rPr>
        <w:t xml:space="preserve"> то під дією сили інерції </w:t>
      </w:r>
      <w:r>
        <w:rPr>
          <w:i/>
          <w:snapToGrid w:val="0"/>
          <w:sz w:val="22"/>
          <w:lang w:val="uk-UA"/>
        </w:rPr>
        <w:t>Р=</w:t>
      </w:r>
      <w:proofErr w:type="spellStart"/>
      <w:r>
        <w:rPr>
          <w:i/>
          <w:snapToGrid w:val="0"/>
          <w:sz w:val="22"/>
          <w:lang w:val="uk-UA"/>
        </w:rPr>
        <w:t>тa</w:t>
      </w:r>
      <w:proofErr w:type="spellEnd"/>
      <w:r>
        <w:rPr>
          <w:snapToGrid w:val="0"/>
          <w:sz w:val="22"/>
          <w:lang w:val="uk-UA"/>
        </w:rPr>
        <w:t xml:space="preserve"> маса маятника </w:t>
      </w:r>
      <w:r>
        <w:rPr>
          <w:i/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 xml:space="preserve"> відхилиться від вертикального положення на кут </w:t>
      </w:r>
      <w:r>
        <w:rPr>
          <w:snapToGrid w:val="0"/>
          <w:position w:val="-10"/>
          <w:sz w:val="22"/>
          <w:lang w:val="uk-UA"/>
        </w:rPr>
        <w:object w:dxaOrig="920" w:dyaOrig="320" w14:anchorId="03DC964C">
          <v:shape id="_x0000_i1028" type="#_x0000_t75" style="width:46pt;height:15.35pt" o:ole="" fillcolor="window">
            <v:imagedata r:id="rId12" o:title=""/>
          </v:shape>
          <o:OLEObject Type="Embed" ProgID="Equation.3" ShapeID="_x0000_i1028" DrawAspect="Content" ObjectID="_1692462563" r:id="rId13"/>
        </w:object>
      </w:r>
      <w:r>
        <w:rPr>
          <w:snapToGrid w:val="0"/>
          <w:sz w:val="22"/>
          <w:lang w:val="uk-UA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11"/>
        <w:gridCol w:w="3384"/>
      </w:tblGrid>
      <w:tr w:rsidR="00927F0C" w14:paraId="386C86B9" w14:textId="77777777" w:rsidTr="00AA38B4">
        <w:trPr>
          <w:cantSplit/>
        </w:trPr>
        <w:tc>
          <w:tcPr>
            <w:tcW w:w="6566" w:type="dxa"/>
            <w:gridSpan w:val="2"/>
          </w:tcPr>
          <w:p w14:paraId="39777FBF" w14:textId="77777777" w:rsidR="00927F0C" w:rsidRDefault="00927F0C" w:rsidP="00AA38B4">
            <w:pPr>
              <w:pStyle w:val="21"/>
              <w:jc w:val="left"/>
            </w:pPr>
            <w:r>
              <w:object w:dxaOrig="7722" w:dyaOrig="3051" w14:anchorId="407E8ECB">
                <v:shape id="_x0000_i1029" type="#_x0000_t75" style="width:323.8pt;height:128.25pt" o:ole="">
                  <v:imagedata r:id="rId14" o:title=""/>
                </v:shape>
                <o:OLEObject Type="Embed" ProgID="Visio.Drawing.11" ShapeID="_x0000_i1029" DrawAspect="Content" ObjectID="_1692462564" r:id="rId15"/>
              </w:object>
            </w:r>
          </w:p>
        </w:tc>
      </w:tr>
      <w:tr w:rsidR="00927F0C" w14:paraId="1399AE8B" w14:textId="77777777" w:rsidTr="00AA38B4">
        <w:tc>
          <w:tcPr>
            <w:tcW w:w="3283" w:type="dxa"/>
            <w:vAlign w:val="center"/>
          </w:tcPr>
          <w:p w14:paraId="367933DC" w14:textId="77777777" w:rsidR="00927F0C" w:rsidRDefault="00927F0C" w:rsidP="00AA38B4">
            <w:pPr>
              <w:pStyle w:val="ris"/>
            </w:pPr>
            <w:r>
              <w:t>Рис. 2.2. Акселерометр</w:t>
            </w:r>
          </w:p>
        </w:tc>
        <w:tc>
          <w:tcPr>
            <w:tcW w:w="3283" w:type="dxa"/>
            <w:vAlign w:val="center"/>
          </w:tcPr>
          <w:p w14:paraId="62C751CA" w14:textId="77777777" w:rsidR="00927F0C" w:rsidRDefault="00927F0C" w:rsidP="00AA38B4">
            <w:pPr>
              <w:pStyle w:val="ris"/>
            </w:pPr>
            <w:r>
              <w:t>Рис. 2.3. Функціональна схема акселерометра</w:t>
            </w:r>
          </w:p>
        </w:tc>
      </w:tr>
    </w:tbl>
    <w:p w14:paraId="09C9BD2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 цьому повзунок вихідного потенціометра переміститься і на виході буде напруга</w:t>
      </w:r>
    </w:p>
    <w:p w14:paraId="1B6A2C8E" w14:textId="77777777" w:rsidR="00927F0C" w:rsidRDefault="00927F0C" w:rsidP="00927F0C">
      <w:pPr>
        <w:ind w:firstLine="284"/>
        <w:jc w:val="right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280" w:dyaOrig="360" w14:anchorId="5238C987">
          <v:shape id="_x0000_i1030" type="#_x0000_t75" style="width:63.5pt;height:18.3pt" o:ole="">
            <v:imagedata r:id="rId16" o:title=""/>
          </v:shape>
          <o:OLEObject Type="Embed" ProgID="Equation.3" ShapeID="_x0000_i1030" DrawAspect="Content" ObjectID="_1692462565" r:id="rId17"/>
        </w:object>
      </w:r>
      <w:r>
        <w:rPr>
          <w:snapToGrid w:val="0"/>
          <w:sz w:val="22"/>
          <w:lang w:val="uk-UA"/>
        </w:rPr>
        <w:tab/>
      </w:r>
      <w:r>
        <w:rPr>
          <w:snapToGrid w:val="0"/>
          <w:sz w:val="22"/>
          <w:lang w:val="uk-UA"/>
        </w:rPr>
        <w:tab/>
      </w:r>
      <w:r>
        <w:rPr>
          <w:snapToGrid w:val="0"/>
          <w:sz w:val="22"/>
          <w:lang w:val="uk-UA"/>
        </w:rPr>
        <w:tab/>
        <w:t>(2.1)</w:t>
      </w:r>
    </w:p>
    <w:p w14:paraId="533BFD94" w14:textId="77777777" w:rsidR="00927F0C" w:rsidRDefault="00927F0C" w:rsidP="00927F0C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 даному вимірювачі лінійних прискорень первинним вимірювальним перетворювачем є маятник, який перетворює вимірюване прискорення </w:t>
      </w:r>
      <w:r>
        <w:rPr>
          <w:i/>
          <w:snapToGrid w:val="0"/>
          <w:sz w:val="22"/>
          <w:lang w:val="uk-UA"/>
        </w:rPr>
        <w:t>а у</w:t>
      </w:r>
      <w:r>
        <w:rPr>
          <w:snapToGrid w:val="0"/>
          <w:sz w:val="22"/>
          <w:lang w:val="uk-UA"/>
        </w:rPr>
        <w:t xml:space="preserve"> кут нахилу маятника </w:t>
      </w:r>
      <w:r>
        <w:rPr>
          <w:snapToGrid w:val="0"/>
          <w:position w:val="-6"/>
          <w:sz w:val="22"/>
          <w:lang w:val="uk-UA"/>
        </w:rPr>
        <w:object w:dxaOrig="220" w:dyaOrig="220" w14:anchorId="67981A54">
          <v:shape id="_x0000_i1031" type="#_x0000_t75" style="width:11.1pt;height:11.1pt" o:ole="" fillcolor="window">
            <v:imagedata r:id="rId18" o:title=""/>
          </v:shape>
          <o:OLEObject Type="Embed" ProgID="Equation.3" ShapeID="_x0000_i1031" DrawAspect="Content" ObjectID="_1692462566" r:id="rId19"/>
        </w:object>
      </w:r>
      <w:r>
        <w:rPr>
          <w:i/>
          <w:snapToGrid w:val="0"/>
          <w:sz w:val="22"/>
          <w:lang w:val="uk-UA"/>
        </w:rPr>
        <w:t>.</w:t>
      </w:r>
    </w:p>
    <w:p w14:paraId="3F7C073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Таким чином, ПВП – це перетворювач, до якого підведено вимірювану величину, тобто перший перетворювач у вимірювальному колі. Вимірювальне коло – це сукупність вимірювальних перетворювачів, що забезпечують всі перетворення сигналу вимірювальної інформації.</w:t>
      </w:r>
    </w:p>
    <w:p w14:paraId="142E54E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Чутливий елемент – частина першого у вимірювальному колі перетворюючого елемента, яка перебуває під безпосереднім впливом вимірюваної величини.</w:t>
      </w:r>
    </w:p>
    <w:p w14:paraId="507CD08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 зазначеному прикладі чутливим елементом є маса маятника </w:t>
      </w:r>
      <w:r>
        <w:rPr>
          <w:i/>
          <w:snapToGrid w:val="0"/>
          <w:sz w:val="22"/>
          <w:lang w:val="uk-UA"/>
        </w:rPr>
        <w:t>m</w:t>
      </w:r>
      <w:r>
        <w:rPr>
          <w:snapToGrid w:val="0"/>
          <w:sz w:val="22"/>
          <w:lang w:val="uk-UA"/>
        </w:rPr>
        <w:t>, оскільки інерційні сили, що виникають при появі прискорення, насамперед діють на неї.</w:t>
      </w:r>
    </w:p>
    <w:p w14:paraId="5F59A3D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Потенціометричний перетворювач застосовується як проміжний вимірювальний перетворювач.</w:t>
      </w:r>
    </w:p>
    <w:p w14:paraId="0CF02BA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Проміжний вимірювальний перетворювач розміщений у вимірювальному колі після ПВП і призначається для дистанційного передавання вимірювальної інформації (наприклад, пристрій дистанційного передавання).</w:t>
      </w:r>
    </w:p>
    <w:p w14:paraId="74C8763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Масштабний вимірювальний перетворювач призначається для зміни вимірюваної величини (або проміжної інформації) у задане число разів (наприклад, подільник напруги, трансформатор, підсилювач тощо).</w:t>
      </w:r>
    </w:p>
    <w:p w14:paraId="496D2607" w14:textId="29668372" w:rsidR="00927F0C" w:rsidRDefault="00927F0C" w:rsidP="00927F0C">
      <w:pPr>
        <w:pStyle w:val="2"/>
      </w:pPr>
      <w:r>
        <w:t>2.2. Основні вимоги, що ставляться до ПФВ</w:t>
      </w:r>
      <w:r w:rsidR="00536C29">
        <w:t xml:space="preserve"> ТЗА</w:t>
      </w:r>
    </w:p>
    <w:p w14:paraId="7B58BDF8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вимірювальних перетворювачів ставляться такі основні вимоги:</w:t>
      </w:r>
    </w:p>
    <w:p w14:paraId="167CD4B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висока надійність на весь термін служби або на міжремонтний строк;</w:t>
      </w:r>
    </w:p>
    <w:p w14:paraId="4DF979F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достатня стабільність характеристик під час зберігання та експлуатації;</w:t>
      </w:r>
    </w:p>
    <w:p w14:paraId="76C92B35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відповідність діапазонів зміни вхідних і вихідних величин;</w:t>
      </w:r>
    </w:p>
    <w:p w14:paraId="1E8B83B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допустима інерційність у перетворенні вимірювальної інформації;</w:t>
      </w:r>
    </w:p>
    <w:p w14:paraId="6949003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відсутність зворотного впливу вихідної величини на вхідну і мінімально допустимий вплив на роботу попередніх вимірювальних перетворювачів.</w:t>
      </w:r>
    </w:p>
    <w:p w14:paraId="309AE83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Стабільність характеристик у часі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визначається стабільністю залежності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  <w:gridCol w:w="1355"/>
      </w:tblGrid>
      <w:tr w:rsidR="00927F0C" w14:paraId="79E50698" w14:textId="77777777" w:rsidTr="00AA38B4">
        <w:tc>
          <w:tcPr>
            <w:tcW w:w="5211" w:type="dxa"/>
          </w:tcPr>
          <w:p w14:paraId="41CA9D4E" w14:textId="77777777" w:rsidR="00927F0C" w:rsidRDefault="00927F0C" w:rsidP="00AA38B4">
            <w:pPr>
              <w:jc w:val="center"/>
              <w:rPr>
                <w:snapToGrid w:val="0"/>
                <w:sz w:val="22"/>
                <w:lang w:val="uk-UA"/>
              </w:rPr>
            </w:pPr>
            <w:r>
              <w:rPr>
                <w:snapToGrid w:val="0"/>
                <w:position w:val="-12"/>
                <w:sz w:val="22"/>
                <w:lang w:val="uk-UA"/>
              </w:rPr>
              <w:object w:dxaOrig="1320" w:dyaOrig="360" w14:anchorId="513703FF">
                <v:shape id="_x0000_i1032" type="#_x0000_t75" style="width:66.05pt;height:18.3pt" o:ole="">
                  <v:imagedata r:id="rId20" o:title=""/>
                </v:shape>
                <o:OLEObject Type="Embed" ProgID="Equation.3" ShapeID="_x0000_i1032" DrawAspect="Content" ObjectID="_1692462567" r:id="rId21"/>
              </w:object>
            </w:r>
          </w:p>
        </w:tc>
        <w:tc>
          <w:tcPr>
            <w:tcW w:w="1355" w:type="dxa"/>
          </w:tcPr>
          <w:p w14:paraId="15019CB2" w14:textId="77777777" w:rsidR="00927F0C" w:rsidRDefault="00927F0C" w:rsidP="00AA38B4">
            <w:pPr>
              <w:jc w:val="right"/>
              <w:rPr>
                <w:snapToGrid w:val="0"/>
                <w:sz w:val="22"/>
                <w:lang w:val="uk-UA"/>
              </w:rPr>
            </w:pPr>
            <w:r>
              <w:rPr>
                <w:snapToGrid w:val="0"/>
                <w:sz w:val="22"/>
                <w:lang w:val="uk-UA"/>
              </w:rPr>
              <w:t>(2.2)</w:t>
            </w:r>
          </w:p>
        </w:tc>
      </w:tr>
    </w:tbl>
    <w:p w14:paraId="623ADC51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причому зміна вихідної величини</w:t>
      </w:r>
    </w:p>
    <w:p w14:paraId="07230D3C" w14:textId="77777777" w:rsidR="00927F0C" w:rsidRDefault="00927F0C" w:rsidP="00927F0C">
      <w:pPr>
        <w:pStyle w:val="aaa"/>
      </w:pPr>
      <w:r>
        <w:rPr>
          <w:position w:val="-12"/>
        </w:rPr>
        <w:object w:dxaOrig="3940" w:dyaOrig="360" w14:anchorId="46A134AA">
          <v:shape id="_x0000_i1033" type="#_x0000_t75" style="width:197.25pt;height:18.3pt" o:ole="">
            <v:imagedata r:id="rId22" o:title=""/>
          </v:shape>
          <o:OLEObject Type="Embed" ProgID="Equation.3" ShapeID="_x0000_i1033" DrawAspect="Content" ObjectID="_1692462568" r:id="rId23"/>
        </w:object>
      </w:r>
      <w:r>
        <w:tab/>
        <w:t>(2.3)</w:t>
      </w:r>
    </w:p>
    <w:p w14:paraId="66BF694C" w14:textId="77777777" w:rsidR="00927F0C" w:rsidRDefault="00927F0C" w:rsidP="00927F0C">
      <w:pPr>
        <w:pStyle w:val="3"/>
      </w:pPr>
      <w:r>
        <w:t xml:space="preserve">де </w:t>
      </w:r>
      <w:r>
        <w:rPr>
          <w:position w:val="-12"/>
        </w:rPr>
        <w:object w:dxaOrig="780" w:dyaOrig="340" w14:anchorId="316E2E3B">
          <v:shape id="_x0000_i1034" type="#_x0000_t75" style="width:38.75pt;height:17.05pt" o:ole="" fillcolor="window">
            <v:imagedata r:id="rId24" o:title=""/>
          </v:shape>
          <o:OLEObject Type="Embed" ProgID="Equation.3" ShapeID="_x0000_i1034" DrawAspect="Content" ObjectID="_1692462569" r:id="rId25"/>
        </w:object>
      </w:r>
      <w:r>
        <w:t xml:space="preserve"> – допустима зміна в часі вихідної величини. </w:t>
      </w:r>
    </w:p>
    <w:p w14:paraId="583772C8" w14:textId="77777777" w:rsidR="00927F0C" w:rsidRDefault="00927F0C" w:rsidP="00927F0C">
      <w:pPr>
        <w:pStyle w:val="3"/>
        <w:ind w:firstLine="284"/>
        <w:rPr>
          <w:lang w:val="ru-RU"/>
        </w:rPr>
      </w:pPr>
      <w:r>
        <w:t>У найпростішому випадку, якщо</w:t>
      </w:r>
    </w:p>
    <w:p w14:paraId="623B4B41" w14:textId="77777777" w:rsidR="00927F0C" w:rsidRDefault="00927F0C" w:rsidP="00927F0C">
      <w:pPr>
        <w:pStyle w:val="aaa"/>
        <w:rPr>
          <w:lang w:val="ru-RU"/>
        </w:rPr>
      </w:pPr>
      <w:r>
        <w:rPr>
          <w:position w:val="-12"/>
          <w:lang w:val="ru-RU"/>
        </w:rPr>
        <w:object w:dxaOrig="1100" w:dyaOrig="360" w14:anchorId="6AF06A6B">
          <v:shape id="_x0000_i1035" type="#_x0000_t75" style="width:54.95pt;height:18.3pt" o:ole="">
            <v:imagedata r:id="rId26" o:title=""/>
          </v:shape>
          <o:OLEObject Type="Embed" ProgID="Equation.3" ShapeID="_x0000_i1035" DrawAspect="Content" ObjectID="_1692462570" r:id="rId27"/>
        </w:object>
      </w:r>
      <w:r>
        <w:rPr>
          <w:lang w:val="ru-RU"/>
        </w:rPr>
        <w:tab/>
        <w:t>(2.4)</w:t>
      </w:r>
    </w:p>
    <w:p w14:paraId="17C2EC56" w14:textId="77777777" w:rsidR="00927F0C" w:rsidRDefault="00927F0C" w:rsidP="00927F0C">
      <w:pPr>
        <w:pStyle w:val="a3"/>
        <w:ind w:firstLine="0"/>
        <w:rPr>
          <w:lang w:val="ru-RU"/>
        </w:rPr>
      </w:pPr>
      <w:r>
        <w:t>(</w:t>
      </w:r>
      <w:proofErr w:type="spellStart"/>
      <w:r>
        <w:rPr>
          <w:i/>
        </w:rPr>
        <w:t>k</w:t>
      </w:r>
      <w:r>
        <w:rPr>
          <w:i/>
          <w:vertAlign w:val="subscript"/>
        </w:rPr>
        <w:t>x</w:t>
      </w:r>
      <w:proofErr w:type="spellEnd"/>
      <w:r>
        <w:t xml:space="preserve"> – передаточний коефіцієнт), то стабільність перетворювача визначається співвідношенням</w:t>
      </w:r>
    </w:p>
    <w:p w14:paraId="2BF14C0D" w14:textId="77777777" w:rsidR="00927F0C" w:rsidRDefault="00927F0C" w:rsidP="00927F0C">
      <w:pPr>
        <w:pStyle w:val="aaa"/>
      </w:pPr>
      <w:r>
        <w:rPr>
          <w:position w:val="-10"/>
        </w:rPr>
        <w:object w:dxaOrig="1200" w:dyaOrig="320" w14:anchorId="242F74AC">
          <v:shape id="_x0000_i1036" type="#_x0000_t75" style="width:59.65pt;height:15.35pt" o:ole="">
            <v:imagedata r:id="rId28" o:title=""/>
          </v:shape>
          <o:OLEObject Type="Embed" ProgID="Equation.3" ShapeID="_x0000_i1036" DrawAspect="Content" ObjectID="_1692462571" r:id="rId29"/>
        </w:object>
      </w:r>
    </w:p>
    <w:p w14:paraId="62FF5A06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</w:t>
      </w:r>
    </w:p>
    <w:p w14:paraId="792D8712" w14:textId="77777777" w:rsidR="00927F0C" w:rsidRDefault="00927F0C" w:rsidP="00927F0C">
      <w:pPr>
        <w:pStyle w:val="aaa"/>
      </w:pPr>
      <w:r>
        <w:rPr>
          <w:position w:val="-10"/>
        </w:rPr>
        <w:object w:dxaOrig="1100" w:dyaOrig="320" w14:anchorId="4B9BB03E">
          <v:shape id="_x0000_i1037" type="#_x0000_t75" style="width:54.95pt;height:15.35pt" o:ole="">
            <v:imagedata r:id="rId30" o:title=""/>
          </v:shape>
          <o:OLEObject Type="Embed" ProgID="Equation.3" ShapeID="_x0000_i1037" DrawAspect="Content" ObjectID="_1692462572" r:id="rId31"/>
        </w:object>
      </w:r>
      <w:r>
        <w:tab/>
        <w:t>(2.5)</w:t>
      </w:r>
    </w:p>
    <w:p w14:paraId="62A3B725" w14:textId="77777777" w:rsidR="00927F0C" w:rsidRDefault="00927F0C" w:rsidP="00927F0C">
      <w:pPr>
        <w:pStyle w:val="a3"/>
        <w:ind w:firstLine="0"/>
      </w:pPr>
      <w:r>
        <w:rPr>
          <w:position w:val="-12"/>
        </w:rPr>
        <w:object w:dxaOrig="540" w:dyaOrig="340" w14:anchorId="2EC5187C">
          <v:shape id="_x0000_i1038" type="#_x0000_t75" style="width:27.25pt;height:17.05pt" o:ole="" fillcolor="window">
            <v:imagedata r:id="rId32" o:title=""/>
          </v:shape>
          <o:OLEObject Type="Embed" ProgID="Equation.3" ShapeID="_x0000_i1038" DrawAspect="Content" ObjectID="_1692462573" r:id="rId33"/>
        </w:object>
      </w:r>
      <w:r>
        <w:t xml:space="preserve"> – допустима зміна передаточного коефіцієнта. </w:t>
      </w:r>
    </w:p>
    <w:p w14:paraId="3DB5FF2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умовах експлуатації перетворювачів</w:t>
      </w:r>
    </w:p>
    <w:p w14:paraId="0A0A468D" w14:textId="77777777" w:rsidR="00927F0C" w:rsidRDefault="00927F0C" w:rsidP="00927F0C">
      <w:pPr>
        <w:pStyle w:val="aaa"/>
      </w:pPr>
      <w:r>
        <w:rPr>
          <w:position w:val="-10"/>
        </w:rPr>
        <w:object w:dxaOrig="1760" w:dyaOrig="360" w14:anchorId="5A491E58">
          <v:shape id="_x0000_i1039" type="#_x0000_t75" style="width:87.35pt;height:18.3pt" o:ole="">
            <v:imagedata r:id="rId34" o:title=""/>
          </v:shape>
          <o:OLEObject Type="Embed" ProgID="Equation.3" ShapeID="_x0000_i1039" DrawAspect="Content" ObjectID="_1692462574" r:id="rId35"/>
        </w:object>
      </w:r>
      <w:r>
        <w:tab/>
        <w:t>(2.6)</w:t>
      </w:r>
    </w:p>
    <w:p w14:paraId="4741385C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– час; </w:t>
      </w:r>
      <w:r>
        <w:rPr>
          <w:i/>
          <w:snapToGrid w:val="0"/>
          <w:sz w:val="22"/>
          <w:lang w:val="uk-UA"/>
        </w:rPr>
        <w:t>P</w:t>
      </w:r>
      <w:r>
        <w:rPr>
          <w:snapToGrid w:val="0"/>
          <w:sz w:val="22"/>
          <w:lang w:val="uk-UA"/>
        </w:rPr>
        <w:t xml:space="preserve"> – тиск навколишнього середовища; </w:t>
      </w:r>
      <w:r>
        <w:rPr>
          <w:i/>
          <w:iCs/>
          <w:snapToGrid w:val="0"/>
          <w:sz w:val="22"/>
          <w:lang w:val="uk-UA"/>
        </w:rPr>
        <w:sym w:font="Symbol" w:char="F051"/>
      </w:r>
      <w:r>
        <w:rPr>
          <w:snapToGrid w:val="0"/>
          <w:sz w:val="22"/>
          <w:lang w:val="uk-UA"/>
        </w:rPr>
        <w:t xml:space="preserve">° – його температура; </w:t>
      </w:r>
      <w:r>
        <w:rPr>
          <w:i/>
          <w:snapToGrid w:val="0"/>
          <w:sz w:val="22"/>
          <w:lang w:val="uk-UA"/>
        </w:rPr>
        <w:t>n</w:t>
      </w:r>
      <w:r>
        <w:rPr>
          <w:snapToGrid w:val="0"/>
          <w:sz w:val="22"/>
          <w:lang w:val="uk-UA"/>
        </w:rPr>
        <w:t xml:space="preserve"> – перевантаження.</w:t>
      </w:r>
    </w:p>
    <w:p w14:paraId="2C1BF08C" w14:textId="77777777" w:rsidR="00927F0C" w:rsidRDefault="00927F0C" w:rsidP="00927F0C">
      <w:pPr>
        <w:pStyle w:val="a3"/>
        <w:rPr>
          <w:lang w:val="ru-RU"/>
        </w:rPr>
      </w:pPr>
      <w:r>
        <w:t>Тому в загальному випадку стабільність характеристики перетворювача визначається стабільністю залежності</w:t>
      </w:r>
    </w:p>
    <w:p w14:paraId="46E7FD81" w14:textId="77777777" w:rsidR="00927F0C" w:rsidRDefault="00927F0C" w:rsidP="00927F0C">
      <w:pPr>
        <w:pStyle w:val="aaa"/>
      </w:pPr>
      <w:r>
        <w:rPr>
          <w:position w:val="-10"/>
        </w:rPr>
        <w:object w:dxaOrig="180" w:dyaOrig="340" w14:anchorId="421DF2E1">
          <v:shape id="_x0000_i1040" type="#_x0000_t75" style="width:8.95pt;height:17.05pt" o:ole="">
            <v:imagedata r:id="rId36" o:title=""/>
          </v:shape>
          <o:OLEObject Type="Embed" ProgID="Equation.3" ShapeID="_x0000_i1040" DrawAspect="Content" ObjectID="_1692462575" r:id="rId37"/>
        </w:object>
      </w:r>
      <w:r>
        <w:rPr>
          <w:position w:val="-10"/>
        </w:rPr>
        <w:object w:dxaOrig="2400" w:dyaOrig="360" w14:anchorId="11FB8492">
          <v:shape id="_x0000_i1041" type="#_x0000_t75" style="width:120.15pt;height:18.3pt" o:ole="">
            <v:imagedata r:id="rId38" o:title=""/>
          </v:shape>
          <o:OLEObject Type="Embed" ProgID="Equation.3" ShapeID="_x0000_i1041" DrawAspect="Content" ObjectID="_1692462576" r:id="rId39"/>
        </w:object>
      </w:r>
    </w:p>
    <w:p w14:paraId="4CF5251D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</w:t>
      </w:r>
    </w:p>
    <w:p w14:paraId="739DAEE9" w14:textId="77777777" w:rsidR="00927F0C" w:rsidRDefault="00927F0C" w:rsidP="00927F0C">
      <w:pPr>
        <w:pStyle w:val="aaa"/>
      </w:pPr>
      <w:r>
        <w:rPr>
          <w:position w:val="-10"/>
        </w:rPr>
        <w:object w:dxaOrig="2100" w:dyaOrig="360" w14:anchorId="79199EEA">
          <v:shape id="_x0000_i1042" type="#_x0000_t75" style="width:105.25pt;height:18.3pt" o:ole="">
            <v:imagedata r:id="rId40" o:title=""/>
          </v:shape>
          <o:OLEObject Type="Embed" ProgID="Equation.3" ShapeID="_x0000_i1042" DrawAspect="Content" ObjectID="_1692462577" r:id="rId41"/>
        </w:object>
      </w:r>
      <w:r>
        <w:tab/>
      </w:r>
      <w:r>
        <w:rPr>
          <w:bCs/>
        </w:rPr>
        <w:t>(2.7)</w:t>
      </w:r>
    </w:p>
    <w:p w14:paraId="034C17A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Відповідність діапазонів зміни вхідної та вихідної величин визначається за формулами</w:t>
      </w:r>
    </w:p>
    <w:p w14:paraId="1933666A" w14:textId="77777777" w:rsidR="00927F0C" w:rsidRDefault="00927F0C" w:rsidP="00927F0C">
      <w:pPr>
        <w:pStyle w:val="aaa"/>
      </w:pPr>
      <w:r>
        <w:rPr>
          <w:position w:val="-30"/>
        </w:rPr>
        <w:object w:dxaOrig="2340" w:dyaOrig="720" w14:anchorId="66F27AF4">
          <v:shape id="_x0000_i1043" type="#_x0000_t75" style="width:116.75pt;height:36.2pt" o:ole="">
            <v:imagedata r:id="rId42" o:title=""/>
          </v:shape>
          <o:OLEObject Type="Embed" ProgID="Equation.3" ShapeID="_x0000_i1043" DrawAspect="Content" ObjectID="_1692462578" r:id="rId43"/>
        </w:object>
      </w:r>
      <w:r>
        <w:tab/>
        <w:t>(2.8)</w:t>
      </w:r>
    </w:p>
    <w:p w14:paraId="63ECABB4" w14:textId="77777777" w:rsidR="00927F0C" w:rsidRDefault="00927F0C" w:rsidP="00927F0C">
      <w:pPr>
        <w:pStyle w:val="a3"/>
      </w:pPr>
      <w:r>
        <w:t>Допустима інерційність визначається сталими часу перехідної функції перетворювача. Наприклад, якщо динаміка перетворювача описується рівнянням виду</w:t>
      </w:r>
    </w:p>
    <w:p w14:paraId="0983F5E8" w14:textId="77777777" w:rsidR="00927F0C" w:rsidRDefault="00927F0C" w:rsidP="00927F0C">
      <w:pPr>
        <w:pStyle w:val="aaa"/>
      </w:pPr>
      <w:r>
        <w:rPr>
          <w:position w:val="-12"/>
        </w:rPr>
        <w:object w:dxaOrig="1800" w:dyaOrig="360" w14:anchorId="7F63DDE5">
          <v:shape id="_x0000_i1044" type="#_x0000_t75" style="width:90.3pt;height:18.3pt" o:ole="">
            <v:imagedata r:id="rId44" o:title=""/>
          </v:shape>
          <o:OLEObject Type="Embed" ProgID="Equation.3" ShapeID="_x0000_i1044" DrawAspect="Content" ObjectID="_1692462579" r:id="rId45"/>
        </w:object>
      </w:r>
      <w:r>
        <w:tab/>
        <w:t>(2.9)</w:t>
      </w:r>
    </w:p>
    <w:p w14:paraId="267D6CC5" w14:textId="77777777" w:rsidR="00927F0C" w:rsidRDefault="00927F0C" w:rsidP="00927F0C">
      <w:pPr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то інерційність перетворення сигналу визначається сталою часу </w:t>
      </w:r>
      <w:r>
        <w:rPr>
          <w:i/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 xml:space="preserve"> перетворювача.</w:t>
      </w:r>
    </w:p>
    <w:p w14:paraId="34C290D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такому разі допустима інерційність</w:t>
      </w:r>
    </w:p>
    <w:p w14:paraId="273B68B1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820" w:dyaOrig="360" w14:anchorId="354492AD">
          <v:shape id="_x0000_i1045" type="#_x0000_t75" style="width:40.9pt;height:18.3pt" o:ole="">
            <v:imagedata r:id="rId46" o:title=""/>
          </v:shape>
          <o:OLEObject Type="Embed" ProgID="Equation.3" ShapeID="_x0000_i1045" DrawAspect="Content" ObjectID="_1692462580" r:id="rId47"/>
        </w:object>
      </w:r>
    </w:p>
    <w:p w14:paraId="2D2C06F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випадку, коли рівняння динаміки вищого порядку зі сталими часу </w:t>
      </w:r>
      <w:r>
        <w:rPr>
          <w:snapToGrid w:val="0"/>
          <w:position w:val="-10"/>
          <w:sz w:val="22"/>
          <w:lang w:val="uk-UA"/>
        </w:rPr>
        <w:object w:dxaOrig="1400" w:dyaOrig="320" w14:anchorId="22BBD3B0">
          <v:shape id="_x0000_i1046" type="#_x0000_t75" style="width:69.85pt;height:15.35pt" o:ole="" fillcolor="window">
            <v:imagedata r:id="rId48" o:title=""/>
          </v:shape>
          <o:OLEObject Type="Embed" ProgID="Equation.3" ShapeID="_x0000_i1046" DrawAspect="Content" ObjectID="_1692462581" r:id="rId49"/>
        </w:object>
      </w:r>
      <w:r>
        <w:rPr>
          <w:snapToGrid w:val="0"/>
          <w:sz w:val="22"/>
          <w:lang w:val="uk-UA"/>
        </w:rPr>
        <w:t>, допустима інерційність визначається наведеними далі нерівностями, які повинні виконуватися:</w:t>
      </w:r>
    </w:p>
    <w:p w14:paraId="0D13580B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90"/>
          <w:sz w:val="22"/>
          <w:lang w:val="uk-UA"/>
        </w:rPr>
        <w:object w:dxaOrig="1640" w:dyaOrig="1920" w14:anchorId="1AB4BC70">
          <v:shape id="_x0000_i1047" type="#_x0000_t75" style="width:81.8pt;height:95.85pt" o:ole="">
            <v:imagedata r:id="rId50" o:title=""/>
          </v:shape>
          <o:OLEObject Type="Embed" ProgID="Equation.3" ShapeID="_x0000_i1047" DrawAspect="Content" ObjectID="_1692462582" r:id="rId51"/>
        </w:object>
      </w:r>
    </w:p>
    <w:p w14:paraId="3A256794" w14:textId="77777777" w:rsidR="00927F0C" w:rsidRDefault="00927F0C" w:rsidP="00927F0C">
      <w:pPr>
        <w:pStyle w:val="a3"/>
        <w:rPr>
          <w:lang w:val="ru-RU"/>
        </w:rPr>
      </w:pPr>
      <w:r>
        <w:t>Запізнювання у перетворювачі можна знайти із залежності (рис. 2.4):</w:t>
      </w:r>
    </w:p>
    <w:p w14:paraId="48035A7A" w14:textId="77777777" w:rsidR="00927F0C" w:rsidRDefault="00927F0C" w:rsidP="00927F0C">
      <w:pPr>
        <w:pStyle w:val="aaa"/>
      </w:pPr>
      <w:r>
        <w:rPr>
          <w:position w:val="-48"/>
        </w:rPr>
        <w:object w:dxaOrig="2680" w:dyaOrig="1080" w14:anchorId="22ADE2B1">
          <v:shape id="_x0000_i1048" type="#_x0000_t75" style="width:134.2pt;height:54.55pt" o:ole="">
            <v:imagedata r:id="rId52" o:title=""/>
          </v:shape>
          <o:OLEObject Type="Embed" ProgID="Equation.3" ShapeID="_x0000_i1048" DrawAspect="Content" ObjectID="_1692462583" r:id="rId53"/>
        </w:object>
      </w:r>
      <w:r>
        <w:tab/>
        <w:t>(2.10)</w:t>
      </w:r>
    </w:p>
    <w:p w14:paraId="43B2DFA0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711" w:dyaOrig="4018" w14:anchorId="03DE5727">
          <v:shape id="_x0000_i1049" type="#_x0000_t75" style="width:317.4pt;height:189.6pt" o:ole="">
            <v:imagedata r:id="rId54" o:title=""/>
          </v:shape>
          <o:OLEObject Type="Embed" ProgID="Visio.Drawing.11" ShapeID="_x0000_i1049" DrawAspect="Content" ObjectID="_1692462584" r:id="rId55"/>
        </w:object>
      </w:r>
    </w:p>
    <w:p w14:paraId="4039C6C8" w14:textId="77777777" w:rsidR="00927F0C" w:rsidRDefault="00927F0C" w:rsidP="00927F0C">
      <w:pPr>
        <w:pStyle w:val="ris"/>
      </w:pPr>
      <w:r>
        <w:t>Рис. 2.4. До визначення поняття запізнювання</w:t>
      </w:r>
    </w:p>
    <w:p w14:paraId="038BAF57" w14:textId="2EB292CA" w:rsidR="00927F0C" w:rsidRDefault="00927F0C" w:rsidP="00927F0C">
      <w:pPr>
        <w:pStyle w:val="2"/>
      </w:pPr>
      <w:r>
        <w:t>2.3. Класифікація ПФВ</w:t>
      </w:r>
      <w:r w:rsidR="004759C2">
        <w:t xml:space="preserve"> ТЗА</w:t>
      </w:r>
    </w:p>
    <w:p w14:paraId="20D2576D" w14:textId="70E1D5C4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Перетворювальні пристрої приладів</w:t>
      </w:r>
      <w:r w:rsidR="004759C2">
        <w:rPr>
          <w:snapToGrid w:val="0"/>
          <w:sz w:val="22"/>
          <w:lang w:val="uk-UA"/>
        </w:rPr>
        <w:t xml:space="preserve"> ТЗА</w:t>
      </w:r>
      <w:r>
        <w:rPr>
          <w:snapToGrid w:val="0"/>
          <w:sz w:val="22"/>
          <w:lang w:val="uk-UA"/>
        </w:rPr>
        <w:t>, або вимірювальні перетворювачі, можна класифікувати за такими основними ознаками:</w:t>
      </w:r>
    </w:p>
    <w:p w14:paraId="4070BAA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фізичні величини, які підлягають перетворенню, вид вхідної та вихідної інформації як функцій часу;</w:t>
      </w:r>
    </w:p>
    <w:p w14:paraId="3FB477A6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місце, що займає ПФВ у вимірювальному колі;</w:t>
      </w:r>
    </w:p>
    <w:p w14:paraId="095EE7E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</w:t>
      </w:r>
      <w:r>
        <w:rPr>
          <w:lang w:val="uk-UA"/>
        </w:rPr>
        <w:t> </w:t>
      </w:r>
      <w:r>
        <w:rPr>
          <w:snapToGrid w:val="0"/>
          <w:sz w:val="22"/>
          <w:lang w:val="uk-UA"/>
        </w:rPr>
        <w:t>наявність джерела енергії, що споживається перетворювачем;</w:t>
      </w:r>
    </w:p>
    <w:p w14:paraId="18F2950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характер залежності вихідної величини від вхідної;</w:t>
      </w:r>
    </w:p>
    <w:p w14:paraId="2D4B214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властивість оборотності.</w:t>
      </w:r>
    </w:p>
    <w:p w14:paraId="3648796F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За фізичними величинами, що підлягають перетворенню, ПФВ, які становлять вимірювальну систему приладу, утворюють такі основні групи перетворювачів: електромеханічні, гідравлічні та пневматичні; частотні електромеханічні; перетворювачі аналогових величин у цифрові та цифрових у аналогові; </w:t>
      </w:r>
      <w:proofErr w:type="spellStart"/>
      <w:r>
        <w:rPr>
          <w:snapToGrid w:val="0"/>
          <w:sz w:val="22"/>
          <w:lang w:val="uk-UA"/>
        </w:rPr>
        <w:t>оптоелектричні</w:t>
      </w:r>
      <w:proofErr w:type="spellEnd"/>
      <w:r>
        <w:rPr>
          <w:snapToGrid w:val="0"/>
          <w:sz w:val="22"/>
          <w:lang w:val="uk-UA"/>
        </w:rPr>
        <w:t xml:space="preserve">; </w:t>
      </w:r>
      <w:proofErr w:type="spellStart"/>
      <w:r>
        <w:rPr>
          <w:snapToGrid w:val="0"/>
          <w:sz w:val="22"/>
          <w:lang w:val="uk-UA"/>
        </w:rPr>
        <w:t>магнітопружні</w:t>
      </w:r>
      <w:proofErr w:type="spellEnd"/>
      <w:r>
        <w:rPr>
          <w:snapToGrid w:val="0"/>
          <w:sz w:val="22"/>
          <w:lang w:val="uk-UA"/>
        </w:rPr>
        <w:t xml:space="preserve"> тощо.</w:t>
      </w:r>
    </w:p>
    <w:p w14:paraId="15676C98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Електромеханічні перетворювачі можна поділити на перетворювачі механічних величин у електричні і перетворювачі електричних величин у механічні.    </w:t>
      </w:r>
    </w:p>
    <w:p w14:paraId="3BBDD1D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До перетворювачів механічних величин у електричні належать потенціометричні, тензометричні перетворювачі, перетворювачі контактного опору, ємнісні, індуктивні та трансформаторні, п'єзоелектричні та </w:t>
      </w:r>
      <w:proofErr w:type="spellStart"/>
      <w:r>
        <w:rPr>
          <w:snapToGrid w:val="0"/>
          <w:sz w:val="22"/>
          <w:lang w:val="uk-UA"/>
        </w:rPr>
        <w:t>механотронні</w:t>
      </w:r>
      <w:proofErr w:type="spellEnd"/>
      <w:r>
        <w:rPr>
          <w:snapToGrid w:val="0"/>
          <w:sz w:val="22"/>
          <w:lang w:val="uk-UA"/>
        </w:rPr>
        <w:t xml:space="preserve"> перетворювачі; до перетворювачів електричних величин у механічні – магнітоелектричні, електромагнітні, електродинамічні та феродинамічні, індукційні перетворювачі, виконавчі двигуни постійного та змінного струму тощо.</w:t>
      </w:r>
    </w:p>
    <w:p w14:paraId="7C272D8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 видом вхідної та вихідної інформації як функцій часу вимірювальні перетворювачі поділяють на перетворювачі неперервної величини в неперервну, неперервної величини в дискретну, дискретної величини в неперервну, дискретної величини в дискретну;</w:t>
      </w:r>
    </w:p>
    <w:p w14:paraId="060A250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 місцем у вимірювальному колі: первинні, проміжні, передавальні, масштабні;</w:t>
      </w:r>
    </w:p>
    <w:p w14:paraId="4E3C468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наявністю джерела енергії, яку споживає перетворювач: параметричні, які функціонують лише зі стороннім (зовнішнім) джерелом живлення (наприклад, ємнісний, трансформаторний </w:t>
      </w:r>
      <w:r>
        <w:rPr>
          <w:snapToGrid w:val="0"/>
          <w:sz w:val="22"/>
          <w:lang w:val="uk-UA"/>
        </w:rPr>
        <w:lastRenderedPageBreak/>
        <w:t>перетворювач тощо), генераторні перетворювачі, які функціонують без стороннього джерела енергії (наприклад, термопара, тахогенератор тощо):</w:t>
      </w:r>
    </w:p>
    <w:p w14:paraId="796B7F76" w14:textId="77777777" w:rsidR="00927F0C" w:rsidRDefault="00927F0C" w:rsidP="00927F0C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характером залежності вихідної величини від вхідної: лінійні, в яких </w:t>
      </w:r>
      <w:r>
        <w:rPr>
          <w:snapToGrid w:val="0"/>
          <w:position w:val="-10"/>
          <w:sz w:val="22"/>
          <w:lang w:val="uk-UA"/>
        </w:rPr>
        <w:object w:dxaOrig="999" w:dyaOrig="320" w14:anchorId="03C22526">
          <v:shape id="_x0000_i1050" type="#_x0000_t75" style="width:50.25pt;height:15.35pt" o:ole="" fillcolor="window">
            <v:imagedata r:id="rId56" o:title=""/>
          </v:shape>
          <o:OLEObject Type="Embed" ProgID="Equation.3" ShapeID="_x0000_i1050" DrawAspect="Content" ObjectID="_1692462585" r:id="rId57"/>
        </w:object>
      </w:r>
      <w:r>
        <w:rPr>
          <w:snapToGrid w:val="0"/>
          <w:sz w:val="22"/>
          <w:lang w:val="uk-UA"/>
        </w:rPr>
        <w:t xml:space="preserve">, де </w:t>
      </w:r>
      <w:r>
        <w:rPr>
          <w:snapToGrid w:val="0"/>
          <w:position w:val="-10"/>
          <w:sz w:val="22"/>
          <w:lang w:val="uk-UA"/>
        </w:rPr>
        <w:object w:dxaOrig="1040" w:dyaOrig="320" w14:anchorId="4A17DC33">
          <v:shape id="_x0000_i1051" type="#_x0000_t75" style="width:51.55pt;height:15.35pt" o:ole="" fillcolor="window">
            <v:imagedata r:id="rId58" o:title=""/>
          </v:shape>
          <o:OLEObject Type="Embed" ProgID="Equation.3" ShapeID="_x0000_i1051" DrawAspect="Content" ObjectID="_1692462586" r:id="rId59"/>
        </w:object>
      </w:r>
      <w:r>
        <w:rPr>
          <w:snapToGrid w:val="0"/>
          <w:sz w:val="22"/>
          <w:lang w:val="uk-UA"/>
        </w:rPr>
        <w:t xml:space="preserve">; нелінійні, в яких </w:t>
      </w:r>
      <w:r>
        <w:rPr>
          <w:snapToGrid w:val="0"/>
          <w:position w:val="-10"/>
          <w:sz w:val="22"/>
          <w:lang w:val="uk-UA"/>
        </w:rPr>
        <w:object w:dxaOrig="1240" w:dyaOrig="320" w14:anchorId="10676F9D">
          <v:shape id="_x0000_i1052" type="#_x0000_t75" style="width:62.2pt;height:15.35pt" o:ole="" fillcolor="window">
            <v:imagedata r:id="rId60" o:title=""/>
          </v:shape>
          <o:OLEObject Type="Embed" ProgID="Equation.3" ShapeID="_x0000_i1052" DrawAspect="Content" ObjectID="_1692462587" r:id="rId61"/>
        </w:object>
      </w:r>
      <w:r>
        <w:rPr>
          <w:snapToGrid w:val="0"/>
          <w:sz w:val="22"/>
        </w:rPr>
        <w:t>,</w:t>
      </w:r>
      <w:r>
        <w:rPr>
          <w:snapToGrid w:val="0"/>
          <w:sz w:val="22"/>
          <w:lang w:val="uk-UA"/>
        </w:rPr>
        <w:t xml:space="preserve"> де </w:t>
      </w:r>
      <w:r>
        <w:rPr>
          <w:snapToGrid w:val="0"/>
          <w:position w:val="-10"/>
          <w:sz w:val="22"/>
          <w:lang w:val="uk-UA"/>
        </w:rPr>
        <w:object w:dxaOrig="660" w:dyaOrig="320" w14:anchorId="6B31A0C4">
          <v:shape id="_x0000_i1053" type="#_x0000_t75" style="width:33.25pt;height:15.35pt" o:ole="" fillcolor="window">
            <v:imagedata r:id="rId62" o:title=""/>
          </v:shape>
          <o:OLEObject Type="Embed" ProgID="Equation.3" ShapeID="_x0000_i1053" DrawAspect="Content" ObjectID="_1692462588" r:id="rId63"/>
        </w:object>
      </w:r>
      <w:r>
        <w:rPr>
          <w:snapToGrid w:val="0"/>
          <w:sz w:val="22"/>
          <w:lang w:val="uk-UA"/>
        </w:rPr>
        <w:t xml:space="preserve"> – нелінійна функція (наприклад, </w:t>
      </w:r>
      <w:r>
        <w:rPr>
          <w:snapToGrid w:val="0"/>
          <w:position w:val="-10"/>
          <w:sz w:val="22"/>
          <w:lang w:val="uk-UA"/>
        </w:rPr>
        <w:object w:dxaOrig="1340" w:dyaOrig="320" w14:anchorId="69F16B06">
          <v:shape id="_x0000_i1054" type="#_x0000_t75" style="width:66.45pt;height:15.35pt" o:ole="" fillcolor="window">
            <v:imagedata r:id="rId64" o:title=""/>
          </v:shape>
          <o:OLEObject Type="Embed" ProgID="Equation.3" ShapeID="_x0000_i1054" DrawAspect="Content" ObjectID="_1692462589" r:id="rId65"/>
        </w:object>
      </w:r>
      <w:r>
        <w:rPr>
          <w:snapToGrid w:val="0"/>
          <w:sz w:val="22"/>
          <w:lang w:val="uk-UA"/>
        </w:rPr>
        <w:t xml:space="preserve"> або </w:t>
      </w:r>
      <w:r>
        <w:rPr>
          <w:snapToGrid w:val="0"/>
          <w:position w:val="-10"/>
          <w:sz w:val="22"/>
          <w:lang w:val="uk-UA"/>
        </w:rPr>
        <w:object w:dxaOrig="1080" w:dyaOrig="360" w14:anchorId="6DA3ADB4">
          <v:shape id="_x0000_i1055" type="#_x0000_t75" style="width:54.55pt;height:18.3pt" o:ole="" fillcolor="window">
            <v:imagedata r:id="rId66" o:title=""/>
          </v:shape>
          <o:OLEObject Type="Embed" ProgID="Equation.3" ShapeID="_x0000_i1055" DrawAspect="Content" ObjectID="_1692462590" r:id="rId67"/>
        </w:object>
      </w:r>
      <w:r>
        <w:rPr>
          <w:snapToGrid w:val="0"/>
          <w:sz w:val="22"/>
          <w:lang w:val="uk-UA"/>
        </w:rPr>
        <w:t>).</w:t>
      </w:r>
    </w:p>
    <w:p w14:paraId="2C05D5D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властивістю оборотності: необоротні (потенціометричні, </w:t>
      </w:r>
      <w:proofErr w:type="spellStart"/>
      <w:r>
        <w:rPr>
          <w:snapToGrid w:val="0"/>
          <w:sz w:val="22"/>
          <w:lang w:val="uk-UA"/>
        </w:rPr>
        <w:t>механотронні</w:t>
      </w:r>
      <w:proofErr w:type="spellEnd"/>
      <w:r>
        <w:rPr>
          <w:snapToGrid w:val="0"/>
          <w:sz w:val="22"/>
          <w:lang w:val="uk-UA"/>
        </w:rPr>
        <w:t xml:space="preserve"> перетворювачі тощо) та оборотні (електромагнітні перетворювачі тощо).</w:t>
      </w:r>
    </w:p>
    <w:p w14:paraId="76E887D1" w14:textId="22D2B89D" w:rsidR="00927F0C" w:rsidRDefault="00927F0C" w:rsidP="00927F0C">
      <w:pPr>
        <w:pStyle w:val="2"/>
      </w:pPr>
      <w:r>
        <w:t xml:space="preserve">2.4. Загальні рівняння ПФВ </w:t>
      </w:r>
      <w:r w:rsidR="00536C29">
        <w:t>ТЗА</w:t>
      </w:r>
      <w:r w:rsidR="004759C2">
        <w:t xml:space="preserve"> </w:t>
      </w:r>
      <w:r>
        <w:t>та їх основні характеристики</w:t>
      </w:r>
    </w:p>
    <w:p w14:paraId="51AF556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загальному випадку процес перетворення інформації є динамічним і його можна описати відповідним диференціальним рівнянням, що характеризує залежність вихідної величини перетворювача від вхідної та їх похідних, а також від зовнішніх факторів, що впливають на роботу ПФВ, тобто</w:t>
      </w:r>
    </w:p>
    <w:p w14:paraId="4E6C79FB" w14:textId="77777777" w:rsidR="00927F0C" w:rsidRDefault="00927F0C" w:rsidP="00927F0C">
      <w:pPr>
        <w:pStyle w:val="aaa"/>
      </w:pPr>
      <w:r>
        <w:rPr>
          <w:position w:val="-34"/>
        </w:rPr>
        <w:object w:dxaOrig="3680" w:dyaOrig="800" w14:anchorId="3B4BBB24">
          <v:shape id="_x0000_i1056" type="#_x0000_t75" style="width:183.6pt;height:40.05pt" o:ole="">
            <v:imagedata r:id="rId68" o:title=""/>
          </v:shape>
          <o:OLEObject Type="Embed" ProgID="Equation.3" ShapeID="_x0000_i1056" DrawAspect="Content" ObjectID="_1692462591" r:id="rId69"/>
        </w:object>
      </w:r>
      <w:r>
        <w:tab/>
        <w:t>(2.11)</w:t>
      </w:r>
    </w:p>
    <w:p w14:paraId="32906E0C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 xml:space="preserve">F – </w:t>
      </w:r>
      <w:r>
        <w:rPr>
          <w:snapToGrid w:val="0"/>
          <w:sz w:val="22"/>
          <w:lang w:val="uk-UA"/>
        </w:rPr>
        <w:t xml:space="preserve">в загальному випадку нелінійна функція; </w:t>
      </w:r>
      <w:r>
        <w:rPr>
          <w:snapToGrid w:val="0"/>
          <w:position w:val="-10"/>
          <w:sz w:val="22"/>
          <w:lang w:val="uk-UA"/>
        </w:rPr>
        <w:object w:dxaOrig="1340" w:dyaOrig="360" w14:anchorId="63572B85">
          <v:shape id="_x0000_i1057" type="#_x0000_t75" style="width:66.45pt;height:18.3pt" o:ole="" fillcolor="window">
            <v:imagedata r:id="rId70" o:title=""/>
          </v:shape>
          <o:OLEObject Type="Embed" ProgID="Equation.3" ShapeID="_x0000_i1057" DrawAspect="Content" ObjectID="_1692462592" r:id="rId71"/>
        </w:object>
      </w:r>
      <w:r>
        <w:rPr>
          <w:snapToGrid w:val="0"/>
          <w:sz w:val="22"/>
          <w:lang w:val="uk-UA"/>
        </w:rPr>
        <w:t xml:space="preserve"> – похідні від вхідної величини за часом; </w:t>
      </w:r>
      <w:r>
        <w:rPr>
          <w:snapToGrid w:val="0"/>
          <w:position w:val="-10"/>
          <w:sz w:val="22"/>
          <w:lang w:val="uk-UA"/>
        </w:rPr>
        <w:object w:dxaOrig="1240" w:dyaOrig="320" w14:anchorId="222D662F">
          <v:shape id="_x0000_i1058" type="#_x0000_t75" style="width:62.2pt;height:15.35pt" o:ole="" fillcolor="window">
            <v:imagedata r:id="rId72" o:title=""/>
          </v:shape>
          <o:OLEObject Type="Embed" ProgID="Equation.3" ShapeID="_x0000_i1058" DrawAspect="Content" ObjectID="_1692462593" r:id="rId73"/>
        </w:object>
      </w:r>
      <w:r>
        <w:rPr>
          <w:snapToGrid w:val="0"/>
          <w:sz w:val="22"/>
          <w:lang w:val="uk-UA"/>
        </w:rPr>
        <w:t xml:space="preserve"> – збурюючі фактори, які впливають на роботу перетворювача; </w:t>
      </w:r>
      <w:r>
        <w:rPr>
          <w:snapToGrid w:val="0"/>
          <w:position w:val="-10"/>
          <w:sz w:val="22"/>
          <w:lang w:val="uk-UA"/>
        </w:rPr>
        <w:object w:dxaOrig="1520" w:dyaOrig="360" w14:anchorId="42B5DCE2">
          <v:shape id="_x0000_i1059" type="#_x0000_t75" style="width:75.85pt;height:18.3pt" o:ole="" fillcolor="window">
            <v:imagedata r:id="rId74" o:title=""/>
          </v:shape>
          <o:OLEObject Type="Embed" ProgID="Equation.3" ShapeID="_x0000_i1059" DrawAspect="Content" ObjectID="_1692462594" r:id="rId75"/>
        </w:object>
      </w:r>
      <w:r>
        <w:rPr>
          <w:snapToGrid w:val="0"/>
          <w:sz w:val="22"/>
          <w:lang w:val="uk-UA"/>
        </w:rPr>
        <w:t xml:space="preserve"> – похідні від вхідної величини за часом.</w:t>
      </w:r>
    </w:p>
    <w:p w14:paraId="69DA905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Рівняння (2.11) – це один з різновидів математичної моделі вимірювального перетворювача.</w:t>
      </w:r>
    </w:p>
    <w:p w14:paraId="00E0F6A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Отже, рівнянням вимірювального перетворювача називатимемо математичні часові залежності вихідної величини від вхідної і від збурень, що впливають на процес перетворення.</w:t>
      </w:r>
    </w:p>
    <w:p w14:paraId="51627D3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деяких випадках рівняння вимірювального перетворювача, що враховує динаміку процесу перетворення, можна подати у вигляді рівняння</w:t>
      </w:r>
    </w:p>
    <w:p w14:paraId="4A69A08F" w14:textId="77777777" w:rsidR="00927F0C" w:rsidRDefault="00927F0C" w:rsidP="00927F0C">
      <w:pPr>
        <w:pStyle w:val="aaa"/>
      </w:pPr>
      <w:r>
        <w:rPr>
          <w:position w:val="-32"/>
        </w:rPr>
        <w:object w:dxaOrig="3019" w:dyaOrig="760" w14:anchorId="55E7B2B3">
          <v:shape id="_x0000_i1060" type="#_x0000_t75" style="width:150.8pt;height:38.35pt" o:ole="">
            <v:imagedata r:id="rId76" o:title=""/>
          </v:shape>
          <o:OLEObject Type="Embed" ProgID="Equation.3" ShapeID="_x0000_i1060" DrawAspect="Content" ObjectID="_1692462595" r:id="rId77"/>
        </w:object>
      </w:r>
      <w:r>
        <w:tab/>
        <w:t>(2.12)</w:t>
      </w:r>
    </w:p>
    <w:p w14:paraId="5141787F" w14:textId="77777777" w:rsidR="00927F0C" w:rsidRDefault="00927F0C" w:rsidP="00927F0C">
      <w:pPr>
        <w:pStyle w:val="3"/>
      </w:pPr>
      <w:r>
        <w:t>яке називають динамічним рівнянням, або динамічною моделлю, вимірювального перетворювача.</w:t>
      </w:r>
    </w:p>
    <w:p w14:paraId="57B8853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Рівняння усталеного режиму (математична модель в усталеному режимі), яке визначає залежність вихідної величини від вхідної в усталеному режимі (при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sym w:font="Symbol" w:char="F0A5"/>
      </w:r>
      <w:r>
        <w:rPr>
          <w:snapToGrid w:val="0"/>
          <w:sz w:val="22"/>
          <w:lang w:val="uk-UA"/>
        </w:rPr>
        <w:t>) роботи перетворювача, можна отримати з рівняння (2.12), якщо</w:t>
      </w:r>
    </w:p>
    <w:p w14:paraId="5CDB6A18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2"/>
          <w:sz w:val="22"/>
          <w:lang w:val="uk-UA"/>
        </w:rPr>
        <w:object w:dxaOrig="2720" w:dyaOrig="760" w14:anchorId="34BF6CBF">
          <v:shape id="_x0000_i1061" type="#_x0000_t75" style="width:135.9pt;height:38.35pt" o:ole="">
            <v:imagedata r:id="rId78" o:title=""/>
          </v:shape>
          <o:OLEObject Type="Embed" ProgID="Equation.3" ShapeID="_x0000_i1061" DrawAspect="Content" ObjectID="_1692462596" r:id="rId79"/>
        </w:object>
      </w:r>
    </w:p>
    <w:p w14:paraId="6881EFC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 рівняння (2.12) набуває вигляду</w:t>
      </w:r>
    </w:p>
    <w:p w14:paraId="5BD7EBE6" w14:textId="77777777" w:rsidR="00927F0C" w:rsidRDefault="00927F0C" w:rsidP="00927F0C">
      <w:pPr>
        <w:pStyle w:val="aaa"/>
      </w:pPr>
      <w:r>
        <w:rPr>
          <w:position w:val="-10"/>
        </w:rPr>
        <w:object w:dxaOrig="3240" w:dyaOrig="320" w14:anchorId="2EBBAE8F">
          <v:shape id="_x0000_i1062" type="#_x0000_t75" style="width:162.3pt;height:15.35pt" o:ole="">
            <v:imagedata r:id="rId80" o:title=""/>
          </v:shape>
          <o:OLEObject Type="Embed" ProgID="Equation.3" ShapeID="_x0000_i1062" DrawAspect="Content" ObjectID="_1692462597" r:id="rId81"/>
        </w:object>
      </w:r>
      <w:r>
        <w:tab/>
        <w:t>(2.13)</w:t>
      </w:r>
    </w:p>
    <w:p w14:paraId="0581AB27" w14:textId="77777777" w:rsidR="00927F0C" w:rsidRDefault="00927F0C" w:rsidP="00927F0C">
      <w:pPr>
        <w:pStyle w:val="a3"/>
        <w:rPr>
          <w:lang w:val="ru-RU"/>
        </w:rPr>
      </w:pPr>
      <w:r>
        <w:t>Останнє рівняння часто записують так:</w:t>
      </w:r>
    </w:p>
    <w:p w14:paraId="5A8FAD6A" w14:textId="77777777" w:rsidR="00927F0C" w:rsidRDefault="00927F0C" w:rsidP="00927F0C">
      <w:pPr>
        <w:pStyle w:val="aaa"/>
        <w:rPr>
          <w:lang w:val="ru-RU"/>
        </w:rPr>
      </w:pPr>
      <w:r>
        <w:rPr>
          <w:position w:val="-12"/>
        </w:rPr>
        <w:object w:dxaOrig="2799" w:dyaOrig="360" w14:anchorId="71246F40">
          <v:shape id="_x0000_i1063" type="#_x0000_t75" style="width:140.15pt;height:18.3pt" o:ole="">
            <v:imagedata r:id="rId82" o:title=""/>
          </v:shape>
          <o:OLEObject Type="Embed" ProgID="Equation.3" ShapeID="_x0000_i1063" DrawAspect="Content" ObjectID="_1692462598" r:id="rId83"/>
        </w:object>
      </w:r>
      <w:r>
        <w:rPr>
          <w:lang w:val="ru-RU"/>
        </w:rPr>
        <w:tab/>
        <w:t>(2.14)</w:t>
      </w:r>
    </w:p>
    <w:p w14:paraId="54FCA8D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вплив зовнішніх факторів зведено до допустимого мінімуму, то рівняння (2.14) можна спростити: </w:t>
      </w:r>
    </w:p>
    <w:p w14:paraId="7BE5A760" w14:textId="77777777" w:rsidR="00927F0C" w:rsidRDefault="00927F0C" w:rsidP="00927F0C">
      <w:pPr>
        <w:pStyle w:val="aaa"/>
      </w:pPr>
      <w:r>
        <w:rPr>
          <w:position w:val="-12"/>
        </w:rPr>
        <w:object w:dxaOrig="1420" w:dyaOrig="360" w14:anchorId="1DCCD925">
          <v:shape id="_x0000_i1064" type="#_x0000_t75" style="width:71.55pt;height:18.3pt" o:ole="">
            <v:imagedata r:id="rId84" o:title=""/>
          </v:shape>
          <o:OLEObject Type="Embed" ProgID="Equation.3" ShapeID="_x0000_i1064" DrawAspect="Content" ObjectID="_1692462599" r:id="rId85"/>
        </w:object>
      </w:r>
      <w:r>
        <w:tab/>
        <w:t>(2.15)</w:t>
      </w:r>
    </w:p>
    <w:p w14:paraId="3453105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Рівняння виду (2.15) називають статичним рівнянням, градуювальною або статичною характеристикою. Статичне рівняння вимірювального перетворювача визначає залежність вихідної величини від вхідної в статичному режимі роботи.</w:t>
      </w:r>
    </w:p>
    <w:p w14:paraId="71A6232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Статичні характеристики бувають лінійні та нелінійні. Лінійною статична характеристика ПФВ є тоді, коли вихідний параметр лінійно залежить від вхідного. З рис. 2.5, а бачимо, що при</w:t>
      </w:r>
    </w:p>
    <w:p w14:paraId="0D9EA72C" w14:textId="77777777" w:rsidR="00927F0C" w:rsidRDefault="00927F0C" w:rsidP="00927F0C">
      <w:pPr>
        <w:pStyle w:val="aaa"/>
      </w:pPr>
      <w:r>
        <w:rPr>
          <w:position w:val="-30"/>
        </w:rPr>
        <w:object w:dxaOrig="2160" w:dyaOrig="720" w14:anchorId="56B333B0">
          <v:shape id="_x0000_i1065" type="#_x0000_t75" style="width:108.2pt;height:36.2pt" o:ole="">
            <v:imagedata r:id="rId86" o:title=""/>
          </v:shape>
          <o:OLEObject Type="Embed" ProgID="Equation.3" ShapeID="_x0000_i1065" DrawAspect="Content" ObjectID="_1692462600" r:id="rId87"/>
        </w:object>
      </w:r>
      <w:r>
        <w:tab/>
        <w:t>(2.16)</w:t>
      </w:r>
    </w:p>
    <w:p w14:paraId="1A7FF1F8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виконується рівняння</w:t>
      </w:r>
    </w:p>
    <w:p w14:paraId="3972664D" w14:textId="77777777" w:rsidR="00927F0C" w:rsidRDefault="00927F0C" w:rsidP="00927F0C">
      <w:pPr>
        <w:pStyle w:val="aaa"/>
      </w:pPr>
      <w:r>
        <w:rPr>
          <w:position w:val="-12"/>
        </w:rPr>
        <w:object w:dxaOrig="1160" w:dyaOrig="360" w14:anchorId="33D2B936">
          <v:shape id="_x0000_i1066" type="#_x0000_t75" style="width:57.5pt;height:18.3pt" o:ole="">
            <v:imagedata r:id="rId88" o:title=""/>
          </v:shape>
          <o:OLEObject Type="Embed" ProgID="Equation.3" ShapeID="_x0000_i1066" DrawAspect="Content" ObjectID="_1692462601" r:id="rId89"/>
        </w:object>
      </w:r>
    </w:p>
    <w:p w14:paraId="74CB5C14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proofErr w:type="spellStart"/>
      <w:r>
        <w:rPr>
          <w:i/>
          <w:snapToGrid w:val="0"/>
          <w:sz w:val="22"/>
          <w:lang w:val="uk-UA"/>
        </w:rPr>
        <w:t>k</w:t>
      </w:r>
      <w:r>
        <w:rPr>
          <w:i/>
          <w:snapToGrid w:val="0"/>
          <w:sz w:val="22"/>
          <w:vertAlign w:val="subscript"/>
          <w:lang w:val="uk-UA"/>
        </w:rPr>
        <w:t>x</w:t>
      </w:r>
      <w:proofErr w:type="spellEnd"/>
      <w:r>
        <w:rPr>
          <w:snapToGrid w:val="0"/>
          <w:sz w:val="22"/>
          <w:lang w:val="uk-UA"/>
        </w:rPr>
        <w:t xml:space="preserve"> – коефіцієнт перетворення вимірювального перетворювача, або його чутливість.</w:t>
      </w:r>
    </w:p>
    <w:p w14:paraId="38986FBD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725" w:dyaOrig="2558" w14:anchorId="36181107">
          <v:shape id="_x0000_i1067" type="#_x0000_t75" style="width:317.4pt;height:120.55pt" o:ole="">
            <v:imagedata r:id="rId90" o:title=""/>
          </v:shape>
          <o:OLEObject Type="Embed" ProgID="Visio.Drawing.11" ShapeID="_x0000_i1067" DrawAspect="Content" ObjectID="_1692462602" r:id="rId91"/>
        </w:object>
      </w:r>
    </w:p>
    <w:p w14:paraId="4B0384E5" w14:textId="77777777" w:rsidR="00927F0C" w:rsidRDefault="00927F0C" w:rsidP="00927F0C">
      <w:pPr>
        <w:pStyle w:val="ris"/>
      </w:pPr>
      <w:r>
        <w:t xml:space="preserve">Рис. 2.5. Статична характеристика ПФВ: </w:t>
      </w:r>
      <w:r>
        <w:rPr>
          <w:i/>
        </w:rPr>
        <w:t>а –</w:t>
      </w:r>
      <w:r>
        <w:t xml:space="preserve"> лінійна; б – нелінійна</w:t>
      </w:r>
    </w:p>
    <w:p w14:paraId="610E19D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Чутливість характеризується кутом </w:t>
      </w:r>
      <w:r>
        <w:rPr>
          <w:snapToGrid w:val="0"/>
          <w:position w:val="-6"/>
          <w:sz w:val="22"/>
          <w:lang w:val="uk-UA"/>
        </w:rPr>
        <w:object w:dxaOrig="220" w:dyaOrig="220" w14:anchorId="54520D29">
          <v:shape id="_x0000_i1068" type="#_x0000_t75" style="width:11.1pt;height:11.1pt" o:ole="" fillcolor="window">
            <v:imagedata r:id="rId92" o:title=""/>
          </v:shape>
          <o:OLEObject Type="Embed" ProgID="Equation.3" ShapeID="_x0000_i1068" DrawAspect="Content" ObjectID="_1692462603" r:id="rId93"/>
        </w:object>
      </w:r>
      <w:r>
        <w:rPr>
          <w:smallCaps/>
          <w:snapToGrid w:val="0"/>
          <w:sz w:val="22"/>
          <w:lang w:val="uk-UA"/>
        </w:rPr>
        <w:t xml:space="preserve"> </w:t>
      </w:r>
      <w:r>
        <w:rPr>
          <w:snapToGrid w:val="0"/>
          <w:sz w:val="22"/>
          <w:lang w:val="uk-UA"/>
        </w:rPr>
        <w:t>нахилу лінійної характеристики:</w:t>
      </w:r>
    </w:p>
    <w:p w14:paraId="7502F080" w14:textId="77777777" w:rsidR="00927F0C" w:rsidRDefault="00927F0C" w:rsidP="00927F0C">
      <w:pPr>
        <w:pStyle w:val="aaa"/>
      </w:pPr>
      <w:r>
        <w:rPr>
          <w:position w:val="-30"/>
        </w:rPr>
        <w:object w:dxaOrig="1939" w:dyaOrig="680" w14:anchorId="6ACFD301">
          <v:shape id="_x0000_i1069" type="#_x0000_t75" style="width:96.7pt;height:33.65pt" o:ole="">
            <v:imagedata r:id="rId94" o:title=""/>
          </v:shape>
          <o:OLEObject Type="Embed" ProgID="Equation.3" ShapeID="_x0000_i1069" DrawAspect="Content" ObjectID="_1692462604" r:id="rId95"/>
        </w:object>
      </w:r>
      <w:r>
        <w:t>.</w:t>
      </w:r>
    </w:p>
    <w:p w14:paraId="0CD147B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 разі нелінійної статичної характеристики вимірювального перетворювача вихідна величина </w:t>
      </w:r>
      <w:proofErr w:type="spellStart"/>
      <w:r>
        <w:rPr>
          <w:snapToGrid w:val="0"/>
          <w:sz w:val="22"/>
          <w:lang w:val="uk-UA"/>
        </w:rPr>
        <w:t>нелінійно</w:t>
      </w:r>
      <w:proofErr w:type="spellEnd"/>
      <w:r>
        <w:rPr>
          <w:snapToGrid w:val="0"/>
          <w:sz w:val="22"/>
          <w:lang w:val="uk-UA"/>
        </w:rPr>
        <w:t xml:space="preserve"> залежить від вхідної (рис. 2.5, б), тобто</w:t>
      </w:r>
    </w:p>
    <w:p w14:paraId="53B878C4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500" w:dyaOrig="360" w14:anchorId="41DEC9E5">
          <v:shape id="_x0000_i1070" type="#_x0000_t75" style="width:75pt;height:18.3pt" o:ole="">
            <v:imagedata r:id="rId96" o:title=""/>
          </v:shape>
          <o:OLEObject Type="Embed" ProgID="Equation.3" ShapeID="_x0000_i1070" DrawAspect="Content" ObjectID="_1692462605" r:id="rId97"/>
        </w:object>
      </w:r>
    </w:p>
    <w:p w14:paraId="66FDCFC4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snapToGrid w:val="0"/>
          <w:position w:val="-10"/>
          <w:sz w:val="22"/>
          <w:lang w:val="uk-UA"/>
        </w:rPr>
        <w:object w:dxaOrig="880" w:dyaOrig="320" w14:anchorId="1AF42BD6">
          <v:shape id="_x0000_i1071" type="#_x0000_t75" style="width:44.3pt;height:15.35pt" o:ole="" fillcolor="window">
            <v:imagedata r:id="rId98" o:title=""/>
          </v:shape>
          <o:OLEObject Type="Embed" ProgID="Equation.3" ShapeID="_x0000_i1071" DrawAspect="Content" ObjectID="_1692462606" r:id="rId99"/>
        </w:object>
      </w:r>
      <w:r>
        <w:rPr>
          <w:snapToGrid w:val="0"/>
          <w:sz w:val="22"/>
          <w:lang w:val="uk-UA"/>
        </w:rPr>
        <w:t xml:space="preserve"> – нелінійна функція.</w:t>
      </w:r>
    </w:p>
    <w:p w14:paraId="321886D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Отже, чутливість вимірювального перетворювача є функцією вхідної величини:</w:t>
      </w:r>
    </w:p>
    <w:p w14:paraId="71FAC55E" w14:textId="77777777" w:rsidR="00927F0C" w:rsidRDefault="00927F0C" w:rsidP="00927F0C">
      <w:pPr>
        <w:pStyle w:val="aaa"/>
      </w:pPr>
      <w:r>
        <w:rPr>
          <w:position w:val="-30"/>
        </w:rPr>
        <w:object w:dxaOrig="1520" w:dyaOrig="680" w14:anchorId="24427BD3">
          <v:shape id="_x0000_i1072" type="#_x0000_t75" style="width:75.85pt;height:33.65pt" o:ole="">
            <v:imagedata r:id="rId100" o:title=""/>
          </v:shape>
          <o:OLEObject Type="Embed" ProgID="Equation.3" ShapeID="_x0000_i1072" DrawAspect="Content" ObjectID="_1692462607" r:id="rId101"/>
        </w:object>
      </w:r>
    </w:p>
    <w:p w14:paraId="3C72955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Наприклад, якщо (рис. 2.5, б)</w:t>
      </w:r>
    </w:p>
    <w:p w14:paraId="12D9187C" w14:textId="77777777" w:rsidR="00927F0C" w:rsidRDefault="00927F0C" w:rsidP="00927F0C">
      <w:pPr>
        <w:pStyle w:val="aaa"/>
      </w:pPr>
      <w:r>
        <w:rPr>
          <w:position w:val="-12"/>
        </w:rPr>
        <w:object w:dxaOrig="1040" w:dyaOrig="380" w14:anchorId="25950148">
          <v:shape id="_x0000_i1073" type="#_x0000_t75" style="width:51.55pt;height:18.75pt" o:ole="">
            <v:imagedata r:id="rId102" o:title=""/>
          </v:shape>
          <o:OLEObject Type="Embed" ProgID="Equation.3" ShapeID="_x0000_i1073" DrawAspect="Content" ObjectID="_1692462608" r:id="rId103"/>
        </w:object>
      </w:r>
    </w:p>
    <w:p w14:paraId="2D8CFEA7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</w:t>
      </w:r>
    </w:p>
    <w:p w14:paraId="15120996" w14:textId="77777777" w:rsidR="00927F0C" w:rsidRDefault="00927F0C" w:rsidP="00927F0C">
      <w:pPr>
        <w:pStyle w:val="aaa"/>
      </w:pPr>
      <w:r>
        <w:rPr>
          <w:position w:val="-12"/>
        </w:rPr>
        <w:object w:dxaOrig="1500" w:dyaOrig="360" w14:anchorId="605EE066">
          <v:shape id="_x0000_i1074" type="#_x0000_t75" style="width:75pt;height:18.3pt" o:ole="">
            <v:imagedata r:id="rId104" o:title=""/>
          </v:shape>
          <o:OLEObject Type="Embed" ProgID="Equation.3" ShapeID="_x0000_i1074" DrawAspect="Content" ObjectID="_1692462609" r:id="rId105"/>
        </w:object>
      </w:r>
    </w:p>
    <w:p w14:paraId="70068CD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загальному випадку</w:t>
      </w:r>
    </w:p>
    <w:p w14:paraId="46551926" w14:textId="77777777" w:rsidR="00927F0C" w:rsidRDefault="00927F0C" w:rsidP="00927F0C">
      <w:pPr>
        <w:pStyle w:val="aaa"/>
      </w:pPr>
      <w:r>
        <w:rPr>
          <w:position w:val="-12"/>
        </w:rPr>
        <w:object w:dxaOrig="2840" w:dyaOrig="360" w14:anchorId="32D3A091">
          <v:shape id="_x0000_i1075" type="#_x0000_t75" style="width:141.85pt;height:18.3pt" o:ole="">
            <v:imagedata r:id="rId106" o:title=""/>
          </v:shape>
          <o:OLEObject Type="Embed" ProgID="Equation.3" ShapeID="_x0000_i1075" DrawAspect="Content" ObjectID="_1692462610" r:id="rId107"/>
        </w:object>
      </w:r>
    </w:p>
    <w:p w14:paraId="49B29DF2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</w:t>
      </w:r>
    </w:p>
    <w:p w14:paraId="64623044" w14:textId="77777777" w:rsidR="00927F0C" w:rsidRDefault="00927F0C" w:rsidP="00927F0C">
      <w:pPr>
        <w:pStyle w:val="aaa"/>
      </w:pPr>
      <w:r>
        <w:rPr>
          <w:position w:val="-12"/>
        </w:rPr>
        <w:object w:dxaOrig="2420" w:dyaOrig="380" w14:anchorId="7BC3A9A6">
          <v:shape id="_x0000_i1076" type="#_x0000_t75" style="width:120.55pt;height:18.75pt" o:ole="">
            <v:imagedata r:id="rId108" o:title=""/>
          </v:shape>
          <o:OLEObject Type="Embed" ProgID="Equation.3" ShapeID="_x0000_i1076" DrawAspect="Content" ObjectID="_1692462611" r:id="rId109"/>
        </w:object>
      </w:r>
    </w:p>
    <w:p w14:paraId="25E29B5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Наприклад, на практиці чутливість існуючих вимірювальних перетворювачів</w:t>
      </w:r>
    </w:p>
    <w:p w14:paraId="016EFF87" w14:textId="77777777" w:rsidR="00927F0C" w:rsidRDefault="00927F0C" w:rsidP="00927F0C">
      <w:pPr>
        <w:pStyle w:val="aaa"/>
      </w:pPr>
      <w:r>
        <w:rPr>
          <w:position w:val="-12"/>
        </w:rPr>
        <w:object w:dxaOrig="2560" w:dyaOrig="380" w14:anchorId="1C503061">
          <v:shape id="_x0000_i1077" type="#_x0000_t75" style="width:128.65pt;height:18.75pt" o:ole="">
            <v:imagedata r:id="rId110" o:title=""/>
          </v:shape>
          <o:OLEObject Type="Embed" ProgID="Equation.3" ShapeID="_x0000_i1077" DrawAspect="Content" ObjectID="_1692462612" r:id="rId111"/>
        </w:object>
      </w:r>
    </w:p>
    <w:p w14:paraId="1A4D8F20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змінюється будь-який з параметрів </w:t>
      </w:r>
    </w:p>
    <w:p w14:paraId="2C787121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8"/>
          <w:sz w:val="22"/>
          <w:lang w:val="uk-UA"/>
        </w:rPr>
        <w:object w:dxaOrig="2220" w:dyaOrig="279" w14:anchorId="4B5CC271">
          <v:shape id="_x0000_i1078" type="#_x0000_t75" style="width:110.75pt;height:14.5pt" o:ole="" fillcolor="window">
            <v:imagedata r:id="rId112" o:title=""/>
          </v:shape>
          <o:OLEObject Type="Embed" ProgID="Equation.3" ShapeID="_x0000_i1078" DrawAspect="Content" ObjectID="_1692462613" r:id="rId113"/>
        </w:object>
      </w:r>
      <w:r>
        <w:rPr>
          <w:snapToGrid w:val="0"/>
          <w:sz w:val="22"/>
          <w:lang w:val="uk-UA"/>
        </w:rPr>
        <w:t>.</w:t>
      </w:r>
    </w:p>
    <w:p w14:paraId="2398CE4D" w14:textId="77777777" w:rsidR="00927F0C" w:rsidRDefault="00927F0C" w:rsidP="00927F0C">
      <w:pPr>
        <w:pStyle w:val="a3"/>
      </w:pPr>
      <w:r>
        <w:t xml:space="preserve">Реальні вимірювальні перетворювачі мають поріг чутливості, який характеризується найменшим значенням вхідної величини </w:t>
      </w:r>
      <w:r>
        <w:rPr>
          <w:position w:val="-10"/>
        </w:rPr>
        <w:object w:dxaOrig="400" w:dyaOrig="320" w14:anchorId="409C54A6">
          <v:shape id="_x0000_i1079" type="#_x0000_t75" style="width:20.45pt;height:15.35pt" o:ole="" fillcolor="window">
            <v:imagedata r:id="rId114" o:title=""/>
          </v:shape>
          <o:OLEObject Type="Embed" ProgID="Equation.3" ShapeID="_x0000_i1079" DrawAspect="Content" ObjectID="_1692462614" r:id="rId115"/>
        </w:object>
      </w:r>
      <w:r>
        <w:t>, при якому на виході перетворювача з'являється вихідна величина (рис. 2.6).</w:t>
      </w:r>
    </w:p>
    <w:p w14:paraId="382F30DC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7931" w:dyaOrig="3780" w14:anchorId="486837D9">
          <v:shape id="_x0000_i1080" type="#_x0000_t75" style="width:317.4pt;height:151.65pt" o:ole="">
            <v:imagedata r:id="rId116" o:title=""/>
          </v:shape>
          <o:OLEObject Type="Embed" ProgID="Visio.Drawing.11" ShapeID="_x0000_i1080" DrawAspect="Content" ObjectID="_1692462615" r:id="rId117"/>
        </w:object>
      </w:r>
    </w:p>
    <w:p w14:paraId="057231B1" w14:textId="77777777" w:rsidR="00927F0C" w:rsidRDefault="00927F0C" w:rsidP="00927F0C">
      <w:pPr>
        <w:pStyle w:val="ris"/>
      </w:pPr>
      <w:r>
        <w:t>Рис. 2.6. До визначення порогу чутливості</w:t>
      </w:r>
    </w:p>
    <w:p w14:paraId="08E9134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Очевидно, що наявність у характеристиці ПФВ порогу чутливості спричиниться до появи в процесі перетворення часового запізнювання </w:t>
      </w:r>
      <w:r>
        <w:rPr>
          <w:i/>
          <w:snapToGrid w:val="0"/>
          <w:sz w:val="22"/>
          <w:lang w:val="uk-UA"/>
        </w:rPr>
        <w:sym w:font="Symbol" w:char="F074"/>
      </w:r>
      <w:r>
        <w:rPr>
          <w:snapToGrid w:val="0"/>
          <w:sz w:val="22"/>
          <w:lang w:val="uk-UA"/>
        </w:rPr>
        <w:t>. При цьому</w:t>
      </w:r>
    </w:p>
    <w:p w14:paraId="7095DC5D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position w:val="-12"/>
        </w:rPr>
        <w:object w:dxaOrig="1980" w:dyaOrig="360" w14:anchorId="61336DFA">
          <v:shape id="_x0000_i1081" type="#_x0000_t75" style="width:99.25pt;height:18.3pt" o:ole="">
            <v:imagedata r:id="rId118" o:title=""/>
          </v:shape>
          <o:OLEObject Type="Embed" ProgID="Equation.3" ShapeID="_x0000_i1081" DrawAspect="Content" ObjectID="_1692462616" r:id="rId119"/>
        </w:object>
      </w:r>
    </w:p>
    <w:p w14:paraId="4033DDDC" w14:textId="77777777" w:rsidR="00927F0C" w:rsidRDefault="00927F0C" w:rsidP="00927F0C">
      <w:pPr>
        <w:pStyle w:val="a3"/>
      </w:pPr>
      <w:r>
        <w:t>Реальні вимірювальні перетворювачі мають свої діапазони перетворень, які характеризують область значень вхідної величини, для якої нормовані допустимі похибки вимірювального перетворювача:</w:t>
      </w:r>
    </w:p>
    <w:p w14:paraId="20D3275A" w14:textId="77777777" w:rsidR="00927F0C" w:rsidRDefault="00927F0C" w:rsidP="00927F0C">
      <w:pPr>
        <w:pStyle w:val="aaa"/>
      </w:pPr>
      <w:r>
        <w:rPr>
          <w:position w:val="-12"/>
        </w:rPr>
        <w:object w:dxaOrig="1860" w:dyaOrig="360" w14:anchorId="0D0EEA1D">
          <v:shape id="_x0000_i1082" type="#_x0000_t75" style="width:93.3pt;height:18.3pt" o:ole="">
            <v:imagedata r:id="rId120" o:title=""/>
          </v:shape>
          <o:OLEObject Type="Embed" ProgID="Equation.3" ShapeID="_x0000_i1082" DrawAspect="Content" ObjectID="_1692462617" r:id="rId121"/>
        </w:object>
      </w:r>
    </w:p>
    <w:p w14:paraId="5F9966C9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</w:t>
      </w:r>
    </w:p>
    <w:p w14:paraId="1B09049D" w14:textId="77777777" w:rsidR="00927F0C" w:rsidRDefault="00927F0C" w:rsidP="00927F0C">
      <w:pPr>
        <w:pStyle w:val="aaa"/>
      </w:pPr>
      <w:r>
        <w:rPr>
          <w:position w:val="-12"/>
        </w:rPr>
        <w:object w:dxaOrig="1560" w:dyaOrig="360" w14:anchorId="1038094B">
          <v:shape id="_x0000_i1083" type="#_x0000_t75" style="width:77.95pt;height:18.3pt" o:ole="">
            <v:imagedata r:id="rId122" o:title=""/>
          </v:shape>
          <o:OLEObject Type="Embed" ProgID="Equation.3" ShapeID="_x0000_i1083" DrawAspect="Content" ObjectID="_1692462618" r:id="rId123"/>
        </w:object>
      </w:r>
    </w:p>
    <w:p w14:paraId="4402BB79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snapToGrid w:val="0"/>
          <w:sz w:val="22"/>
          <w:lang w:val="uk-UA"/>
        </w:rPr>
        <w:sym w:font="Symbol" w:char="F044"/>
      </w:r>
      <w:proofErr w:type="spellStart"/>
      <w:r>
        <w:rPr>
          <w:i/>
          <w:snapToGrid w:val="0"/>
          <w:sz w:val="22"/>
          <w:lang w:val="uk-UA"/>
        </w:rPr>
        <w:t>y</w:t>
      </w:r>
      <w:r>
        <w:rPr>
          <w:snapToGrid w:val="0"/>
          <w:sz w:val="22"/>
          <w:vertAlign w:val="subscript"/>
          <w:lang w:val="uk-UA"/>
        </w:rPr>
        <w:t>вих.доп</w:t>
      </w:r>
      <w:proofErr w:type="spellEnd"/>
      <w:r>
        <w:rPr>
          <w:snapToGrid w:val="0"/>
          <w:sz w:val="22"/>
          <w:lang w:val="uk-UA"/>
        </w:rPr>
        <w:t xml:space="preserve"> – допустимі значення похибок вихідної величини.</w:t>
      </w:r>
    </w:p>
    <w:p w14:paraId="37DEF2E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разі симетричної статичної характеристики (див. рис. 2.1, а) діапазон перетворень</w:t>
      </w:r>
    </w:p>
    <w:p w14:paraId="7F18D7CF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2640" w:dyaOrig="360" w14:anchorId="50C942E9">
          <v:shape id="_x0000_i1084" type="#_x0000_t75" style="width:131.65pt;height:18.3pt" o:ole="">
            <v:imagedata r:id="rId124" o:title=""/>
          </v:shape>
          <o:OLEObject Type="Embed" ProgID="Equation.3" ShapeID="_x0000_i1084" DrawAspect="Content" ObjectID="_1692462619" r:id="rId125"/>
        </w:object>
      </w:r>
    </w:p>
    <w:p w14:paraId="771C2F3C" w14:textId="21589189" w:rsidR="00927F0C" w:rsidRDefault="00927F0C" w:rsidP="00927F0C">
      <w:pPr>
        <w:pStyle w:val="2"/>
      </w:pPr>
      <w:r>
        <w:t>2.5. Загальні положення про похибки ПФВ</w:t>
      </w:r>
      <w:r w:rsidR="00536C29">
        <w:t xml:space="preserve"> ТЗА</w:t>
      </w:r>
    </w:p>
    <w:p w14:paraId="0F4D0790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Розрізняють абсолютні похибки перетворювача за входом і за виходом.</w:t>
      </w:r>
    </w:p>
    <w:p w14:paraId="1927CF0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Абсолютна похибка ПФВ за входом – це різниця між значенням </w:t>
      </w:r>
      <w:r>
        <w:rPr>
          <w:snapToGrid w:val="0"/>
          <w:position w:val="-10"/>
          <w:sz w:val="22"/>
          <w:lang w:val="uk-UA"/>
        </w:rPr>
        <w:object w:dxaOrig="320" w:dyaOrig="360" w14:anchorId="5418B51E">
          <v:shape id="_x0000_i1085" type="#_x0000_t75" style="width:15.35pt;height:18.3pt" o:ole="" fillcolor="window">
            <v:imagedata r:id="rId126" o:title=""/>
          </v:shape>
          <o:OLEObject Type="Embed" ProgID="Equation.3" ShapeID="_x0000_i1085" DrawAspect="Content" ObjectID="_1692462620" r:id="rId127"/>
        </w:object>
      </w:r>
      <w:r>
        <w:rPr>
          <w:snapToGrid w:val="0"/>
          <w:sz w:val="22"/>
          <w:lang w:val="uk-UA"/>
        </w:rPr>
        <w:t xml:space="preserve"> вхідної величини реального перетворювача (яке називають приладним) і істинним її значенням в усталеному режимі роботи:</w:t>
      </w:r>
    </w:p>
    <w:p w14:paraId="273EA786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480" w:dyaOrig="380" w14:anchorId="52E91CE2">
          <v:shape id="_x0000_i1086" type="#_x0000_t75" style="width:74.15pt;height:18.75pt" o:ole="">
            <v:imagedata r:id="rId128" o:title=""/>
          </v:shape>
          <o:OLEObject Type="Embed" ProgID="Equation.3" ShapeID="_x0000_i1086" DrawAspect="Content" ObjectID="_1692462621" r:id="rId129"/>
        </w:object>
      </w:r>
    </w:p>
    <w:p w14:paraId="29AD80F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При цьому приладне значення </w:t>
      </w:r>
      <w:r>
        <w:rPr>
          <w:snapToGrid w:val="0"/>
          <w:position w:val="-10"/>
          <w:sz w:val="22"/>
          <w:lang w:val="uk-UA"/>
        </w:rPr>
        <w:object w:dxaOrig="320" w:dyaOrig="360" w14:anchorId="5405F3E6">
          <v:shape id="_x0000_i1087" type="#_x0000_t75" style="width:15.35pt;height:18.3pt" o:ole="" fillcolor="window">
            <v:imagedata r:id="rId130" o:title=""/>
          </v:shape>
          <o:OLEObject Type="Embed" ProgID="Equation.3" ShapeID="_x0000_i1087" DrawAspect="Content" ObjectID="_1692462622" r:id="rId131"/>
        </w:object>
      </w:r>
      <w:r>
        <w:rPr>
          <w:snapToGrid w:val="0"/>
          <w:sz w:val="22"/>
          <w:lang w:val="uk-UA"/>
        </w:rPr>
        <w:t xml:space="preserve"> обчислюють за відповідною статичною характеристикою перетворювача </w:t>
      </w:r>
      <w:r>
        <w:rPr>
          <w:snapToGrid w:val="0"/>
          <w:position w:val="-10"/>
          <w:sz w:val="22"/>
          <w:lang w:val="uk-UA"/>
        </w:rPr>
        <w:object w:dxaOrig="880" w:dyaOrig="360" w14:anchorId="036AAAAE">
          <v:shape id="_x0000_i1088" type="#_x0000_t75" style="width:44.3pt;height:18.3pt" o:ole="" fillcolor="window">
            <v:imagedata r:id="rId132" o:title=""/>
          </v:shape>
          <o:OLEObject Type="Embed" ProgID="Equation.3" ShapeID="_x0000_i1088" DrawAspect="Content" ObjectID="_1692462623" r:id="rId133"/>
        </w:object>
      </w:r>
      <w:r>
        <w:rPr>
          <w:snapToGrid w:val="0"/>
          <w:sz w:val="22"/>
          <w:lang w:val="uk-UA"/>
        </w:rPr>
        <w:t>.</w:t>
      </w:r>
    </w:p>
    <w:p w14:paraId="00387F6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Абсолютна похибка ПФВ за виходом є різницею (рис. 2.7) між значенням вихідної величини реального перетворювача </w:t>
      </w:r>
      <w:r>
        <w:rPr>
          <w:snapToGrid w:val="0"/>
          <w:position w:val="-10"/>
          <w:sz w:val="22"/>
          <w:lang w:val="uk-UA"/>
        </w:rPr>
        <w:object w:dxaOrig="420" w:dyaOrig="360" w14:anchorId="2E228CCF">
          <v:shape id="_x0000_i1089" type="#_x0000_t75" style="width:20.9pt;height:18.3pt" o:ole="" fillcolor="window">
            <v:imagedata r:id="rId134" o:title=""/>
          </v:shape>
          <o:OLEObject Type="Embed" ProgID="Equation.3" ShapeID="_x0000_i1089" DrawAspect="Content" ObjectID="_1692462624" r:id="rId135"/>
        </w:object>
      </w:r>
      <w:r>
        <w:rPr>
          <w:snapToGrid w:val="0"/>
          <w:sz w:val="22"/>
          <w:lang w:val="uk-UA"/>
        </w:rPr>
        <w:t xml:space="preserve"> в усталеному режимі його роботи (при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sym w:font="Symbol" w:char="F0A5"/>
      </w:r>
      <w:r>
        <w:rPr>
          <w:snapToGrid w:val="0"/>
          <w:sz w:val="22"/>
          <w:lang w:val="uk-UA"/>
        </w:rPr>
        <w:t>) і її істинним значенням за відсутності похибок вхідної величини (</w:t>
      </w:r>
      <w:r>
        <w:rPr>
          <w:snapToGrid w:val="0"/>
          <w:position w:val="-10"/>
          <w:sz w:val="22"/>
          <w:lang w:val="uk-UA"/>
        </w:rPr>
        <w:object w:dxaOrig="800" w:dyaOrig="320" w14:anchorId="7E80B27E">
          <v:shape id="_x0000_i1090" type="#_x0000_t75" style="width:40.05pt;height:15.35pt" o:ole="" fillcolor="window">
            <v:imagedata r:id="rId136" o:title=""/>
          </v:shape>
          <o:OLEObject Type="Embed" ProgID="Equation.3" ShapeID="_x0000_i1090" DrawAspect="Content" ObjectID="_1692462625" r:id="rId137"/>
        </w:object>
      </w:r>
      <w:r>
        <w:rPr>
          <w:snapToGrid w:val="0"/>
          <w:sz w:val="22"/>
          <w:lang w:val="uk-UA"/>
        </w:rPr>
        <w:t>):</w:t>
      </w:r>
    </w:p>
    <w:p w14:paraId="127C9B2A" w14:textId="77777777" w:rsidR="00927F0C" w:rsidRDefault="00927F0C" w:rsidP="00927F0C">
      <w:pPr>
        <w:pStyle w:val="aaa"/>
      </w:pPr>
      <w:r>
        <w:rPr>
          <w:position w:val="-12"/>
        </w:rPr>
        <w:object w:dxaOrig="2079" w:dyaOrig="380" w14:anchorId="2A4C8F0D">
          <v:shape id="_x0000_i1091" type="#_x0000_t75" style="width:103.95pt;height:18.75pt" o:ole="">
            <v:imagedata r:id="rId138" o:title=""/>
          </v:shape>
          <o:OLEObject Type="Embed" ProgID="Equation.3" ShapeID="_x0000_i1091" DrawAspect="Content" ObjectID="_1692462626" r:id="rId139"/>
        </w:object>
      </w:r>
    </w:p>
    <w:p w14:paraId="515960B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Динамічна похибка вимірювального перетворювача – це різниця між значенням вихідної величини </w:t>
      </w:r>
      <w:r>
        <w:rPr>
          <w:snapToGrid w:val="0"/>
          <w:position w:val="-10"/>
          <w:sz w:val="22"/>
          <w:lang w:val="uk-UA"/>
        </w:rPr>
        <w:object w:dxaOrig="660" w:dyaOrig="360" w14:anchorId="5618A230">
          <v:shape id="_x0000_i1092" type="#_x0000_t75" style="width:33.25pt;height:18.3pt" o:ole="" fillcolor="window">
            <v:imagedata r:id="rId140" o:title=""/>
          </v:shape>
          <o:OLEObject Type="Embed" ProgID="Equation.3" ShapeID="_x0000_i1092" DrawAspect="Content" ObjectID="_1692462627" r:id="rId141"/>
        </w:object>
      </w:r>
      <w:r>
        <w:rPr>
          <w:snapToGrid w:val="0"/>
          <w:sz w:val="22"/>
          <w:lang w:val="uk-UA"/>
        </w:rPr>
        <w:t xml:space="preserve"> в перехідному режимі і її значенням </w:t>
      </w:r>
      <w:r>
        <w:rPr>
          <w:snapToGrid w:val="0"/>
          <w:position w:val="-10"/>
          <w:sz w:val="22"/>
          <w:lang w:val="uk-UA"/>
        </w:rPr>
        <w:object w:dxaOrig="760" w:dyaOrig="360" w14:anchorId="0A12FBAF">
          <v:shape id="_x0000_i1093" type="#_x0000_t75" style="width:38.35pt;height:18.3pt" o:ole="" fillcolor="window">
            <v:imagedata r:id="rId142" o:title=""/>
          </v:shape>
          <o:OLEObject Type="Embed" ProgID="Equation.3" ShapeID="_x0000_i1093" DrawAspect="Content" ObjectID="_1692462628" r:id="rId143"/>
        </w:object>
      </w:r>
      <w:r>
        <w:rPr>
          <w:snapToGrid w:val="0"/>
          <w:sz w:val="22"/>
          <w:lang w:val="uk-UA"/>
        </w:rPr>
        <w:t xml:space="preserve"> в усталеному режимі (рис. 2.7):</w:t>
      </w:r>
    </w:p>
    <w:p w14:paraId="6CDF449D" w14:textId="77777777" w:rsidR="00927F0C" w:rsidRDefault="00927F0C" w:rsidP="00927F0C">
      <w:pPr>
        <w:pStyle w:val="aaa"/>
      </w:pPr>
      <w:r>
        <w:rPr>
          <w:position w:val="-12"/>
        </w:rPr>
        <w:object w:dxaOrig="2680" w:dyaOrig="380" w14:anchorId="154E1FCD">
          <v:shape id="_x0000_i1094" type="#_x0000_t75" style="width:134.2pt;height:18.75pt" o:ole="">
            <v:imagedata r:id="rId144" o:title=""/>
          </v:shape>
          <o:OLEObject Type="Embed" ProgID="Equation.3" ShapeID="_x0000_i1094" DrawAspect="Content" ObjectID="_1692462629" r:id="rId145"/>
        </w:object>
      </w:r>
    </w:p>
    <w:p w14:paraId="4C58370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Інструментальна похибка ПФВ – це різниця між приладним значенням вихідної величини і її істинним значенням у всіх режимах роботи:</w:t>
      </w:r>
    </w:p>
    <w:p w14:paraId="6F446C26" w14:textId="77777777" w:rsidR="00927F0C" w:rsidRDefault="00927F0C" w:rsidP="00927F0C">
      <w:pPr>
        <w:pStyle w:val="aaa"/>
      </w:pPr>
      <w:r>
        <w:rPr>
          <w:position w:val="-12"/>
        </w:rPr>
        <w:object w:dxaOrig="2480" w:dyaOrig="380" w14:anchorId="7126A9ED">
          <v:shape id="_x0000_i1095" type="#_x0000_t75" style="width:123.55pt;height:18.75pt" o:ole="">
            <v:imagedata r:id="rId146" o:title=""/>
          </v:shape>
          <o:OLEObject Type="Embed" ProgID="Equation.3" ShapeID="_x0000_i1095" DrawAspect="Content" ObjectID="_1692462630" r:id="rId147"/>
        </w:object>
      </w:r>
    </w:p>
    <w:p w14:paraId="2EF5CEC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Очевидно, що</w:t>
      </w:r>
    </w:p>
    <w:p w14:paraId="2709EA7B" w14:textId="77777777" w:rsidR="00927F0C" w:rsidRDefault="00927F0C" w:rsidP="00927F0C">
      <w:pPr>
        <w:pStyle w:val="aaa"/>
      </w:pPr>
      <w:r>
        <w:rPr>
          <w:position w:val="-10"/>
        </w:rPr>
        <w:object w:dxaOrig="2620" w:dyaOrig="320" w14:anchorId="7351DA9C">
          <v:shape id="_x0000_i1096" type="#_x0000_t75" style="width:131.2pt;height:15.35pt" o:ole="">
            <v:imagedata r:id="rId148" o:title=""/>
          </v:shape>
          <o:OLEObject Type="Embed" ProgID="Equation.3" ShapeID="_x0000_i1096" DrawAspect="Content" ObjectID="_1692462631" r:id="rId149"/>
        </w:object>
      </w:r>
    </w:p>
    <w:p w14:paraId="427529C7" w14:textId="77777777" w:rsidR="00927F0C" w:rsidRDefault="00927F0C" w:rsidP="00927F0C">
      <w:pPr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</w:t>
      </w:r>
      <w:r>
        <w:rPr>
          <w:snapToGrid w:val="0"/>
          <w:position w:val="-10"/>
          <w:sz w:val="22"/>
          <w:lang w:val="uk-UA"/>
        </w:rPr>
        <w:object w:dxaOrig="3640" w:dyaOrig="320" w14:anchorId="263C9A12">
          <v:shape id="_x0000_i1097" type="#_x0000_t75" style="width:182.35pt;height:15.35pt" o:ole="">
            <v:imagedata r:id="rId150" o:title=""/>
          </v:shape>
          <o:OLEObject Type="Embed" ProgID="Equation.3" ShapeID="_x0000_i1097" DrawAspect="Content" ObjectID="_1692462632" r:id="rId151"/>
        </w:object>
      </w:r>
    </w:p>
    <w:p w14:paraId="23D0A0DE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588" w:dyaOrig="2983" w14:anchorId="7DEF60B4">
          <v:shape id="_x0000_i1098" type="#_x0000_t75" style="width:317.4pt;height:2in" o:ole="">
            <v:imagedata r:id="rId152" o:title=""/>
          </v:shape>
          <o:OLEObject Type="Embed" ProgID="Visio.Drawing.11" ShapeID="_x0000_i1098" DrawAspect="Content" ObjectID="_1692462633" r:id="rId153"/>
        </w:object>
      </w:r>
    </w:p>
    <w:p w14:paraId="15B83BDE" w14:textId="77777777" w:rsidR="00927F0C" w:rsidRDefault="00927F0C" w:rsidP="00927F0C">
      <w:pPr>
        <w:pStyle w:val="ris"/>
      </w:pPr>
      <w:r>
        <w:t>Рис. 2.7. До визначення динамічної похибки ПФВ</w:t>
      </w:r>
    </w:p>
    <w:p w14:paraId="57DD779B" w14:textId="77777777" w:rsidR="00927F0C" w:rsidRDefault="00927F0C" w:rsidP="00927F0C">
      <w:pPr>
        <w:pStyle w:val="1"/>
        <w:rPr>
          <w:lang w:val="ru-RU"/>
        </w:rPr>
      </w:pPr>
      <w:r>
        <w:rPr>
          <w:lang w:val="ru-RU"/>
        </w:rPr>
        <w:t xml:space="preserve">2.6. </w:t>
      </w:r>
      <w:r>
        <w:t xml:space="preserve">Контрольні питання до розділу </w:t>
      </w:r>
      <w:r>
        <w:rPr>
          <w:lang w:val="ru-RU"/>
        </w:rPr>
        <w:t>2</w:t>
      </w:r>
    </w:p>
    <w:p w14:paraId="66426BD8" w14:textId="6E6F221A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чутливому елементу приладу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1D3024F2" w14:textId="355BA5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вимірювальній мережі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5B062BD5" w14:textId="0A37A3DD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вимірювальному перетворювачу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16CC7501" w14:textId="24B934E3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lastRenderedPageBreak/>
        <w:t>Дайте визначення первинному, проміжному, масштабному вимірювальному перетворювачу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3CB16D0C" w14:textId="4C6C5F45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Сформулюйте основні вимоги до перетворюючих пристроїв приладів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 xml:space="preserve">. </w:t>
      </w:r>
    </w:p>
    <w:p w14:paraId="7DB13C59" w14:textId="0714E6D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математичній моделі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13651E1E" w14:textId="02923285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рівнянню динаміки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29411B13" w14:textId="619A36A4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рівнянню статики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41B867E4" w14:textId="493ACC6E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чутливості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5A767450" w14:textId="4F9EA812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абсолютній та відносній похибкам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703CD804" w14:textId="77777777" w:rsidR="00927F0C" w:rsidRPr="00927F0C" w:rsidRDefault="00927F0C">
      <w:pPr>
        <w:rPr>
          <w:lang w:val="uk-UA"/>
        </w:rPr>
      </w:pPr>
    </w:p>
    <w:sectPr w:rsidR="00927F0C" w:rsidRPr="0092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2E98"/>
    <w:multiLevelType w:val="hybridMultilevel"/>
    <w:tmpl w:val="6FCECFE6"/>
    <w:lvl w:ilvl="0" w:tplc="15EC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80"/>
    <w:rsid w:val="000A6CFD"/>
    <w:rsid w:val="00113280"/>
    <w:rsid w:val="004759C2"/>
    <w:rsid w:val="00536C29"/>
    <w:rsid w:val="008D67C2"/>
    <w:rsid w:val="00927F0C"/>
    <w:rsid w:val="00964EE9"/>
    <w:rsid w:val="00992CC1"/>
    <w:rsid w:val="00A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9FA"/>
  <w15:chartTrackingRefBased/>
  <w15:docId w15:val="{269E5B6B-C521-4A67-89B0-821D1BB6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27F0C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927F0C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F0C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27F0C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927F0C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27F0C"/>
    <w:pPr>
      <w:jc w:val="center"/>
    </w:pPr>
    <w:rPr>
      <w:snapToGrid w:val="0"/>
      <w:sz w:val="22"/>
      <w:lang w:val="uk-UA"/>
    </w:rPr>
  </w:style>
  <w:style w:type="character" w:customStyle="1" w:styleId="22">
    <w:name w:val="Основной текст 2 Знак"/>
    <w:basedOn w:val="a0"/>
    <w:link w:val="21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3">
    <w:name w:val="Body Text 3"/>
    <w:basedOn w:val="a"/>
    <w:link w:val="30"/>
    <w:semiHidden/>
    <w:rsid w:val="00927F0C"/>
    <w:pPr>
      <w:jc w:val="both"/>
    </w:pPr>
    <w:rPr>
      <w:snapToGrid w:val="0"/>
      <w:sz w:val="22"/>
      <w:lang w:val="uk-UA"/>
    </w:rPr>
  </w:style>
  <w:style w:type="character" w:customStyle="1" w:styleId="30">
    <w:name w:val="Основной текст 3 Знак"/>
    <w:basedOn w:val="a0"/>
    <w:link w:val="3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927F0C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927F0C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Microsoft_Visio_2003-2010_Drawing3.vsd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5" Type="http://schemas.openxmlformats.org/officeDocument/2006/relationships/image" Target="media/image1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55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Microsoft_Visio_2003-2010_Drawing2.vsd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Microsoft_Visio_2003-2010_Drawing1.vsd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Microsoft_Visio_2003-2010_Drawing4.vsd"/><Relationship Id="rId15" Type="http://schemas.openxmlformats.org/officeDocument/2006/relationships/oleObject" Target="embeddings/Microsoft_Visio_2003-2010_Drawing.vsd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1961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2020-09-02T06:54:00Z</dcterms:created>
  <dcterms:modified xsi:type="dcterms:W3CDTF">2021-09-06T16:39:00Z</dcterms:modified>
</cp:coreProperties>
</file>