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0" w:rsidRPr="002143B0" w:rsidRDefault="00A74210" w:rsidP="002143B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2143B0">
        <w:rPr>
          <w:rFonts w:ascii="Times New Roman" w:hAnsi="Times New Roman" w:cs="Times New Roman"/>
          <w:b/>
          <w:color w:val="000000"/>
        </w:rPr>
        <w:t xml:space="preserve">ЛАБОРАТОРНО - ПРАКТИЧНА РОБОТА № </w:t>
      </w:r>
      <w:r w:rsidR="00AE0CDF" w:rsidRPr="002143B0">
        <w:rPr>
          <w:rFonts w:ascii="Times New Roman" w:hAnsi="Times New Roman" w:cs="Times New Roman"/>
          <w:b/>
          <w:color w:val="000000"/>
          <w:lang w:val="ru-RU"/>
        </w:rPr>
        <w:t>7</w:t>
      </w:r>
    </w:p>
    <w:p w:rsidR="00A74210" w:rsidRDefault="002143B0" w:rsidP="002143B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Розроблення технологічного процесу виготовлення виливка</w:t>
      </w:r>
    </w:p>
    <w:p w:rsidR="002143B0" w:rsidRPr="002143B0" w:rsidRDefault="002143B0" w:rsidP="002143B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Мета роботи</w:t>
      </w: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2143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опанувати методику розроблення технологічного процесу виготовлення виливка.</w:t>
      </w:r>
    </w:p>
    <w:p w:rsidR="002143B0" w:rsidRPr="002143B0" w:rsidRDefault="002143B0" w:rsidP="002143B0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Обладнання та матеріали:</w:t>
      </w:r>
      <w:r w:rsidRPr="002143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кресл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ярське приладдя, довідники, нао</w:t>
      </w:r>
      <w:r w:rsidRPr="002143B0">
        <w:rPr>
          <w:rFonts w:ascii="Times New Roman" w:hAnsi="Times New Roman" w:cs="Times New Roman"/>
          <w:bCs/>
          <w:color w:val="000000"/>
          <w:sz w:val="24"/>
          <w:szCs w:val="24"/>
        </w:rPr>
        <w:t>чні посібники, моделі ливникової системи, креслення деталей, готові деталі, плакати з ливарного виробництва.</w:t>
      </w:r>
    </w:p>
    <w:p w:rsidR="002143B0" w:rsidRDefault="002143B0" w:rsidP="005D4E9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Теоретичні відомості</w:t>
      </w:r>
    </w:p>
    <w:p w:rsidR="002143B0" w:rsidRPr="005D4E96" w:rsidRDefault="005D4E96" w:rsidP="005D4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Виготовлення виливка — складний технологічний процес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.1), що передбачає проектування креслення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литої деталі (виливка) і вигото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влення </w:t>
      </w:r>
      <w:proofErr w:type="spellStart"/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модельно</w:t>
      </w:r>
      <w:proofErr w:type="spellEnd"/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-стрижневого оснащення, приготування формової і стрижневої сумішей, розрахунок і плавлення шихти, виготовлення форм і їх заливання розплавом, їх вибивання, очищення, контроль якості. У цій лабораторній роботі передбачається проектування креслення литої деталі і відповідно </w:t>
      </w:r>
      <w:proofErr w:type="spellStart"/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модельно</w:t>
      </w:r>
      <w:proofErr w:type="spellEnd"/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-стрижневого оснащення, а також розрахунок ливникової системи для заданої литої деталі з урахуванням матеріалу, з якого її виготовляють. Основою для виготовлення </w:t>
      </w:r>
      <w:proofErr w:type="spellStart"/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мод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-стрижневого комплекту (мо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дель литої деталі і стрижневий ящик) є</w:t>
      </w:r>
      <w:r w:rsid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креслення литої деталі (рис. 7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.2), яке розробляє конструк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тор, а модельник виготовляє ком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плект для цієї литої деталі. При розробленні ливарної техноло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гії визначають: спосіб формуван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ня (ручне або машинне); положення виливка у формі під час заливання розплаву; усадку і припуски на механі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чне оброблення; кількість стриж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нів і знакових частин; тип ливникової системи. Для цього складають технологічну карту на виготовлення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иливка, марку розплаву, темпера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>туру заливання розплаву, склад шихти 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 ін. На кресленні моделі вилив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 косим штрихуванням або лініями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червоного кольору позначають мі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сця припусків на механічне оброблення, лініями або перехресним штрихуванням синього кольору — контури стрижнів і знакових частин моделі. При виготовленні моделі її розміри мають бути більшими від розмірів, що вказані на кресленні, на значення </w:t>
      </w:r>
      <w:r w:rsidR="00C57C97">
        <w:rPr>
          <w:rFonts w:ascii="Times New Roman" w:hAnsi="Times New Roman" w:cs="Times New Roman"/>
          <w:bCs/>
          <w:color w:val="000000"/>
          <w:sz w:val="24"/>
          <w:szCs w:val="24"/>
        </w:rPr>
        <w:t>лінійної усадки сплаву (табл. 7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.1) і величину припуску на механічне оброблення. Якщо на кресленні показано </w:t>
      </w:r>
      <w:r w:rsidRPr="005D4E9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знак , то припуск на механічне оброблення не передбачається. Якщо відливок піддається механічному обробленню, то розмір моделі для дрібних деталей більший на 2…3 мм на сторону. У ливарному виробництві отвори в деталі виконують, якщо при масовому виробництві діаметри цих отворів становлять понад 25 мм, при серійному — 30 мм, а при одиничному — 40...50 мм.</w:t>
      </w:r>
    </w:p>
    <w:p w:rsidR="002143B0" w:rsidRPr="005D4E96" w:rsidRDefault="00AB0F12" w:rsidP="00AB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774558" cy="490565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24" cy="49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0" w:rsidRPr="00EE1691" w:rsidRDefault="00EE1691" w:rsidP="00EE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Рис. 7.1  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Основні етапи процесу виготовлення виливка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143B0" w:rsidRPr="005D4E96" w:rsidRDefault="00EE1691" w:rsidP="00EE1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Щоб легше видалити модель із фор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ми, її поверхні, розміщені пара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лельно напрямку руху при витягуванн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і із форми, виконують з формува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льними уклонами - 1...3°, а стрижневих ящиків - 2...4°</w:t>
      </w:r>
    </w:p>
    <w:p w:rsidR="002143B0" w:rsidRPr="005D4E96" w:rsidRDefault="002143B0" w:rsidP="00EE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3B0" w:rsidRPr="005D4E96" w:rsidRDefault="00EE1691" w:rsidP="00EE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280643" cy="2456121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61" cy="248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0" w:rsidRPr="005D4E96" w:rsidRDefault="00EE1691" w:rsidP="00EE1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 7.2  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Креслення деталі (корпусу підшипника)</w:t>
      </w:r>
    </w:p>
    <w:p w:rsidR="002143B0" w:rsidRPr="00EE1691" w:rsidRDefault="00EE1691" w:rsidP="00EE169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Лінійна усадка ливарних сплавів</w:t>
      </w:r>
    </w:p>
    <w:p w:rsidR="002143B0" w:rsidRPr="005D4E96" w:rsidRDefault="00EE1691" w:rsidP="00EE16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Таблиця 7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</w:p>
    <w:p w:rsidR="002143B0" w:rsidRPr="005D4E96" w:rsidRDefault="00EE1691" w:rsidP="00EE1691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494018" cy="1903228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271" cy="19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8BC" w:rsidRDefault="00EE1691" w:rsidP="00EE1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литих деталях переходи стінки від однієї товщини до іншої мають бути плавними. Закруглення внутрішніх кутів у переходах називають галтелями, а зовнішніх — закругленнями. Залежно від 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розмірів деталей розміри радіусів галтелей для деталей такі: 1, 2, 3, 5, 8, 10, 15, 20, 25, 30 і 40 мм. </w:t>
      </w:r>
    </w:p>
    <w:p w:rsidR="00E868BC" w:rsidRDefault="00EE1691" w:rsidP="00EE1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Для встановлення стрижня в лива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рну форму на моделях роблять ви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ступи (стрижневі знаки), які при виго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товленні форми роблять у ній за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глиблення (гнізда), в які вставляють стрижні. </w:t>
      </w:r>
    </w:p>
    <w:p w:rsidR="002143B0" w:rsidRPr="005D4E96" w:rsidRDefault="00EE1691" w:rsidP="00EE1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Для отримання гладеньких робочих поверхонь моделей і стрижневих ящиків та запобігання насиченню вол</w:t>
      </w:r>
      <w:r w:rsidR="00E868BC">
        <w:rPr>
          <w:rFonts w:ascii="Times New Roman" w:hAnsi="Times New Roman" w:cs="Times New Roman"/>
          <w:bCs/>
          <w:color w:val="000000"/>
          <w:sz w:val="24"/>
          <w:szCs w:val="24"/>
        </w:rPr>
        <w:t>огою поверхні їх ґрунтують, шпа</w:t>
      </w:r>
      <w:r w:rsidRPr="00EE1691">
        <w:rPr>
          <w:rFonts w:ascii="Times New Roman" w:hAnsi="Times New Roman" w:cs="Times New Roman"/>
          <w:bCs/>
          <w:color w:val="000000"/>
          <w:sz w:val="24"/>
          <w:szCs w:val="24"/>
        </w:rPr>
        <w:t>клюють і покривають модельним лаком (шелаком — смола тропічних дерев) або нітроемалями.</w:t>
      </w:r>
    </w:p>
    <w:p w:rsidR="002143B0" w:rsidRPr="005D4E96" w:rsidRDefault="00E868BC" w:rsidP="00E86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Залежно від матеріалу, з якого виливають деталь (виливок), моделі фарбують у різні кольори: для чавунних деталей — червоний; сталевих — сірий; кольорових — жовтий; стрижневі знаки моделей — чорний.</w:t>
      </w:r>
    </w:p>
    <w:p w:rsidR="002143B0" w:rsidRDefault="00E868BC" w:rsidP="00E868B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68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Послідовність виконання роботи</w:t>
      </w:r>
    </w:p>
    <w:p w:rsidR="00E868BC" w:rsidRDefault="00E868BC" w:rsidP="005950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234043" cy="2785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658" cy="283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14" w:rsidRDefault="00595014" w:rsidP="00595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7.3 </w:t>
      </w:r>
      <w:r w:rsidRPr="0059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Схема ливникової форми в розрізі для визначення середнього ефективного напору </w:t>
      </w:r>
      <w:proofErr w:type="spellStart"/>
      <w:r w:rsidRPr="0059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Нн</w:t>
      </w:r>
      <w:proofErr w:type="spellEnd"/>
      <w:r w:rsidRPr="00595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95014" w:rsidRPr="00595014" w:rsidRDefault="00595014" w:rsidP="0059501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014">
        <w:rPr>
          <w:rFonts w:ascii="Times New Roman" w:hAnsi="Times New Roman" w:cs="Times New Roman"/>
          <w:bCs/>
          <w:color w:val="000000"/>
          <w:sz w:val="24"/>
          <w:szCs w:val="24"/>
        </w:rPr>
        <w:t>1 — випор; 2 — стрижень; 3 — ливникова чаша; 4 — верхня опока; 5 — нижня опока</w:t>
      </w:r>
    </w:p>
    <w:p w:rsidR="002143B0" w:rsidRPr="00E868BC" w:rsidRDefault="00E868BC" w:rsidP="00E2129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1. Отримавши креслення деталі, зр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обити відповідне креслення в зо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шиті з нанесенням усіх розмірів елемен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тів і чистоту поверхонь, що вка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зує на необхідність припуску на меха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нічне оброблення. Наприклад, ви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ходячи із креслення корпусу підшипника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(див. рис. 7.3), він має внут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рішній отвір і фланець для кріплення.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Під час його механічного оброб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лення потрібно обробити циліндричні поверхні діаметром 85 і 95 мм, торці по розміру 160 мм і поверхню фланця по розміру 90 мм.</w:t>
      </w:r>
    </w:p>
    <w:p w:rsidR="002143B0" w:rsidRPr="005D4E96" w:rsidRDefault="00E868BC" w:rsidP="00E2129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Розробляючи технологічний процес отримання виливка деталі (див. табл.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.1), потрібно знати, з якого матеріалу виливається виливок, і відповідно врахувати на моделі припуск на величину усадки (довжини діаметра) і механічного оброблення. Залежно від наведеної д</w:t>
      </w:r>
      <w:r w:rsidR="00595014">
        <w:rPr>
          <w:rFonts w:ascii="Times New Roman" w:hAnsi="Times New Roman" w:cs="Times New Roman"/>
          <w:bCs/>
          <w:color w:val="000000"/>
          <w:sz w:val="24"/>
          <w:szCs w:val="24"/>
        </w:rPr>
        <w:t>еталі при розробленні технологі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чного проц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есу можливі два варіанти роз’єд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нання моделі у формі: по лінії А – А або по лінії Б – Б.</w:t>
      </w:r>
    </w:p>
    <w:p w:rsidR="002143B0" w:rsidRPr="00E868BC" w:rsidRDefault="00E868BC" w:rsidP="00E2129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3. Вибрати раціональне роз’єднання по певній площині і навести схему ливникової форми для отриман</w:t>
      </w:r>
      <w:r w:rsidR="00595014">
        <w:rPr>
          <w:rFonts w:ascii="Times New Roman" w:hAnsi="Times New Roman" w:cs="Times New Roman"/>
          <w:bCs/>
          <w:color w:val="000000"/>
          <w:sz w:val="24"/>
          <w:szCs w:val="24"/>
        </w:rPr>
        <w:t>ня виливка з елементами ливнико</w:t>
      </w:r>
      <w:r w:rsidR="00B121AC">
        <w:rPr>
          <w:rFonts w:ascii="Times New Roman" w:hAnsi="Times New Roman" w:cs="Times New Roman"/>
          <w:bCs/>
          <w:color w:val="000000"/>
          <w:sz w:val="24"/>
          <w:szCs w:val="24"/>
        </w:rPr>
        <w:t>вої системи (рис. 7</w:t>
      </w:r>
      <w:r w:rsidRPr="00E868BC">
        <w:rPr>
          <w:rFonts w:ascii="Times New Roman" w:hAnsi="Times New Roman" w:cs="Times New Roman"/>
          <w:bCs/>
          <w:color w:val="000000"/>
          <w:sz w:val="24"/>
          <w:szCs w:val="24"/>
        </w:rPr>
        <w:t>.3).</w:t>
      </w:r>
    </w:p>
    <w:p w:rsidR="002143B0" w:rsidRPr="00C57C97" w:rsidRDefault="00C57C97" w:rsidP="00C57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Розрахувати масу виливка. Спочатку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визначити об’єм виливка </w:t>
      </w:r>
      <w:proofErr w:type="spellStart"/>
      <w:r w:rsidRPr="00C57C9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V</w:t>
      </w:r>
      <w:r w:rsidRPr="00C57C97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bscript"/>
        </w:rPr>
        <w:t>в</w:t>
      </w:r>
      <w:proofErr w:type="spellEnd"/>
      <w:r w:rsidRPr="00C57C9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см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а потім, виходячи із розмірів моделі деталі, — його масу, </w:t>
      </w:r>
      <w:r w:rsidRPr="00C57C9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143B0" w:rsidRPr="00C57C97" w:rsidRDefault="00C57C97" w:rsidP="00C57C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∙ρ</m:t>
        </m:r>
      </m:oMath>
      <w:r w:rsidRPr="00C57C9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>,</w:t>
      </w:r>
      <w:r w:rsidRPr="00C57C9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C57C9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C57C9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C57C9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  <w:t>(7.1)</w:t>
      </w:r>
    </w:p>
    <w:p w:rsidR="00C57C97" w:rsidRDefault="00C57C97" w:rsidP="00E2129A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де: 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2"/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густина розплаву, г/см3 (для сірого чавуну 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2"/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7,10, для сталі 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2"/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7,85, для бронзи 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2"/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8,90, для силуміну </w:t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2"/>
      </w:r>
      <w:r w:rsidRPr="00C57C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2,70).</w:t>
      </w:r>
    </w:p>
    <w:p w:rsidR="00C57C97" w:rsidRPr="00E2129A" w:rsidRDefault="00E2129A" w:rsidP="00E21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2129A">
        <w:rPr>
          <w:rFonts w:ascii="Times New Roman" w:hAnsi="Times New Roman" w:cs="Times New Roman"/>
          <w:bCs/>
          <w:color w:val="000000"/>
          <w:sz w:val="24"/>
          <w:szCs w:val="24"/>
        </w:rPr>
        <w:t>Визначити загальну масу розплаву</w:t>
      </w:r>
      <w:r w:rsidRPr="00E212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P</m:t>
            </m:r>
          </m:sub>
        </m:sSub>
      </m:oMath>
      <w:r w:rsidRPr="00E2129A">
        <w:rPr>
          <w:rFonts w:ascii="Times New Roman" w:hAnsi="Times New Roman" w:cs="Times New Roman"/>
          <w:bCs/>
          <w:color w:val="000000"/>
          <w:sz w:val="24"/>
          <w:szCs w:val="24"/>
        </w:rPr>
        <w:t>, потрібного для отримання виливка і заповнення каналів ливникової системи:</w:t>
      </w:r>
    </w:p>
    <w:p w:rsidR="00C57C97" w:rsidRPr="00E2129A" w:rsidRDefault="00E2129A" w:rsidP="00E212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P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sup>
        </m:sSubSup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л.с.</m:t>
            </m:r>
          </m:sub>
        </m:sSub>
      </m:oMath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  <w:t>(7.2)</w:t>
      </w:r>
    </w:p>
    <w:p w:rsidR="00C57C97" w:rsidRDefault="00E2129A" w:rsidP="003521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л.с.</m:t>
            </m:r>
          </m:sub>
        </m:sSub>
      </m:oMath>
      <w:r w:rsidRPr="00E212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маса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озплаву ливникової системи;</w:t>
      </w:r>
      <w:r w:rsid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л.с.</m:t>
            </m:r>
          </m:sub>
        </m:sSub>
      </m:oMath>
      <w:r w:rsidR="003521F7">
        <w:rPr>
          <w:rFonts w:ascii="Times New Roman" w:hAnsi="Times New Roman" w:cs="Times New Roman"/>
          <w:bCs/>
          <w:color w:val="000000"/>
          <w:sz w:val="24"/>
          <w:szCs w:val="24"/>
        </w:rPr>
        <w:t>=(0,15...0,20)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u-RU"/>
              </w:rPr>
              <m:t>P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sup>
        </m:sSubSup>
      </m:oMath>
      <w:r w:rsidRPr="00E212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3521F7" w:rsidRDefault="003521F7" w:rsidP="0035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Розрахувати елементи ливникової системи. </w:t>
      </w:r>
    </w:p>
    <w:p w:rsidR="00E2129A" w:rsidRPr="003521F7" w:rsidRDefault="003521F7" w:rsidP="0035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>Розрахувати ливникову систему — це означає визначити розміри та співвідношення всіх її елементів. 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тоди розрахунків ливникових сис</w:t>
      </w: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>тем ґрунтуються на законах гідравліки з використанням результатів, отриманих дослідницьким шляхом.</w:t>
      </w:r>
    </w:p>
    <w:p w:rsidR="003521F7" w:rsidRDefault="003521F7" w:rsidP="0035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Розрахунки починають з визначен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ня площі перерізу найвужчого мі</w:t>
      </w: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>сця ливникової системи, тобто жив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ильників, а потім — шлаковловлю</w:t>
      </w: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вачів, стояка (випорів) тощо. </w:t>
      </w:r>
    </w:p>
    <w:p w:rsidR="00E2129A" w:rsidRPr="003521F7" w:rsidRDefault="003521F7" w:rsidP="0035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21F7">
        <w:rPr>
          <w:rFonts w:ascii="Times New Roman" w:hAnsi="Times New Roman" w:cs="Times New Roman"/>
          <w:bCs/>
          <w:color w:val="000000"/>
          <w:sz w:val="24"/>
          <w:szCs w:val="24"/>
        </w:rPr>
        <w:t>Визначають сумарну площу перерізу живильників за формулою:</w:t>
      </w:r>
    </w:p>
    <w:p w:rsidR="00E2129A" w:rsidRPr="003521F7" w:rsidRDefault="003521F7" w:rsidP="00352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ж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z w:val="28"/>
                    <w:szCs w:val="28"/>
                    <w:lang w:val="ru-R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P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з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ρτ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gH</m:t>
                </m:r>
              </m:e>
            </m:rad>
          </m:den>
        </m:f>
      </m:oMath>
      <w:r w:rsidRP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,</w:t>
      </w:r>
      <w:r w:rsidRP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ab/>
      </w:r>
      <w:r w:rsidRP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ab/>
      </w:r>
      <w:r w:rsidRP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ab/>
      </w:r>
      <w:r w:rsidRPr="003521F7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ab/>
        <w:t>(7.3)</w:t>
      </w:r>
    </w:p>
    <w:p w:rsidR="001B565C" w:rsidRDefault="001B565C" w:rsidP="001B5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де: g — прискорення вільного падіння, м/с2 ; </w:t>
      </w:r>
    </w:p>
    <w:p w:rsidR="00E2129A" w:rsidRDefault="001B565C" w:rsidP="001B5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D"/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коефіцієнт, який залежить від загального гідравлічного опору ливникової форми руху розплаву (для чавунного литва </w:t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D"/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0,75...0,85).</w:t>
      </w:r>
    </w:p>
    <w:p w:rsidR="001B565C" w:rsidRDefault="001B565C" w:rsidP="001B5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Площу перерізу шлаковловлювача </w:t>
      </w:r>
      <w:r w:rsidRPr="001B565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F</w:t>
      </w:r>
      <w:r w:rsidRPr="001B565C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bscript"/>
        </w:rPr>
        <w:t>шл</w:t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стояка </w:t>
      </w:r>
      <w:r w:rsidRPr="001B565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F</w:t>
      </w:r>
      <w:r w:rsidRPr="001B565C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bscript"/>
        </w:rPr>
        <w:t>ст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залежно від то</w:t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вщини стінок виливка розраховують за співвідношенням для виливків: </w:t>
      </w:r>
    </w:p>
    <w:p w:rsidR="001B565C" w:rsidRPr="009B080E" w:rsidRDefault="001B565C" w:rsidP="009B08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тонкостінних, дрібних: 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ж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шл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ст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= 1 : 1,06 : 1,11;</w:t>
      </w: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80E" w:rsidRPr="009B080E" w:rsidRDefault="001B565C" w:rsidP="009B08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середніх і дрібних: 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ж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шл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ст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= 1 : 1,1 : 1,15;</w:t>
      </w: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80E" w:rsidRPr="009B080E" w:rsidRDefault="001B565C" w:rsidP="009B08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великих: 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ж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шл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ст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= 1 : 1,2 : 1,4</w:t>
      </w: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E2129A" w:rsidRPr="001B565C" w:rsidRDefault="001B565C" w:rsidP="001B56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Площа нижнього перерізу випору 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вип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= 1,5 F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ст</w:t>
      </w:r>
      <w:r w:rsid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см</w:t>
      </w:r>
      <w:r w:rsidRPr="009B08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perscript"/>
        </w:rPr>
        <w:t>2</w:t>
      </w:r>
      <w:r w:rsidRPr="001B56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C57C97" w:rsidRPr="009B080E" w:rsidRDefault="009B080E" w:rsidP="009B080E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>За наявності кількох випорів на одному виливку сумарний переріз їх може бути і більшим.</w:t>
      </w:r>
    </w:p>
    <w:p w:rsidR="00C57C97" w:rsidRPr="009B080E" w:rsidRDefault="009B080E" w:rsidP="009B08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>6. Визначити середній ефект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ивний напір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см (див. рис. 7</w:t>
      </w:r>
      <w:r w:rsidRPr="009B080E">
        <w:rPr>
          <w:rFonts w:ascii="Times New Roman" w:hAnsi="Times New Roman" w:cs="Times New Roman"/>
          <w:bCs/>
          <w:color w:val="000000"/>
          <w:sz w:val="24"/>
          <w:szCs w:val="24"/>
        </w:rPr>
        <w:t>.3), за формулою:</w:t>
      </w:r>
    </w:p>
    <w:p w:rsidR="00C57C97" w:rsidRPr="0064294D" w:rsidRDefault="009B080E" w:rsidP="009B0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H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den>
        </m:f>
      </m:oMath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>,</w:t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  <w:t>(7.4)</w:t>
      </w:r>
    </w:p>
    <w:p w:rsidR="0064294D" w:rsidRDefault="0064294D" w:rsidP="00642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де: </w:t>
      </w:r>
      <w:proofErr w:type="spellStart"/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64294D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с</w:t>
      </w:r>
      <w:proofErr w:type="spellEnd"/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гідростатичний напір, який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дорівнює відстані від рівня ча</w:t>
      </w: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ші до живильника, </w:t>
      </w:r>
      <w:proofErr w:type="spellStart"/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Нс</w:t>
      </w:r>
      <w:proofErr w:type="spellEnd"/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Р + 9; </w:t>
      </w:r>
    </w:p>
    <w:p w:rsidR="0064294D" w:rsidRDefault="0064294D" w:rsidP="00642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 — висота виливка над живильником; </w:t>
      </w:r>
    </w:p>
    <w:p w:rsidR="00C57C97" w:rsidRPr="0064294D" w:rsidRDefault="0064294D" w:rsidP="0064294D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С — загальна висота виливка.</w:t>
      </w:r>
    </w:p>
    <w:p w:rsidR="00C57C97" w:rsidRPr="00C57C97" w:rsidRDefault="0064294D" w:rsidP="00642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Тривалість заливання розплавом ливарної форми, </w:t>
      </w:r>
      <w:r w:rsidRPr="0064294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</w:t>
      </w: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143B0" w:rsidRPr="0064294D" w:rsidRDefault="0064294D" w:rsidP="00642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τ=k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z w:val="28"/>
                    <w:szCs w:val="28"/>
                    <w:lang w:val="ru-R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P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з</m:t>
                </m:r>
              </m:sup>
            </m:sSubSup>
          </m:e>
        </m:rad>
      </m:oMath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>,</w:t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</w:r>
      <w:r w:rsidRPr="0064294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ru-RU"/>
        </w:rPr>
        <w:tab/>
        <w:t>(7.5)</w:t>
      </w:r>
    </w:p>
    <w:p w:rsidR="002143B0" w:rsidRDefault="0064294D" w:rsidP="00642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де: k — коефіцієнт, який залежить від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товщини стінки виливка (табл. 7</w:t>
      </w: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.2).</w:t>
      </w:r>
    </w:p>
    <w:p w:rsidR="0064294D" w:rsidRDefault="0064294D" w:rsidP="00642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294D">
        <w:rPr>
          <w:rFonts w:ascii="Times New Roman" w:hAnsi="Times New Roman" w:cs="Times New Roman"/>
          <w:bCs/>
          <w:color w:val="000000"/>
          <w:sz w:val="24"/>
          <w:szCs w:val="24"/>
        </w:rPr>
        <w:t>Для дрібного литва (&lt; 25 кг) застосовують формулу</w:t>
      </w:r>
    </w:p>
    <w:p w:rsidR="0064294D" w:rsidRPr="0041344B" w:rsidRDefault="0064294D" w:rsidP="00642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τ=1,1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000000"/>
                    <w:sz w:val="28"/>
                    <w:szCs w:val="28"/>
                    <w:lang w:val="ru-R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u-RU"/>
                  </w:rPr>
                  <m:t>P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з</m:t>
                </m:r>
              </m:sup>
            </m:sSubSup>
          </m:e>
        </m:rad>
      </m:oMath>
      <w:r w:rsidRPr="0064294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64294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41344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ru-RU"/>
        </w:rPr>
        <w:t>(7.6)</w:t>
      </w:r>
    </w:p>
    <w:p w:rsidR="0064294D" w:rsidRPr="0041344B" w:rsidRDefault="0041344B" w:rsidP="0041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Значення коефіцієнта k залежно від товщини стінки виливка</w:t>
      </w:r>
    </w:p>
    <w:p w:rsidR="0064294D" w:rsidRPr="00050989" w:rsidRDefault="0041344B" w:rsidP="00413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Таблиця 7</w:t>
      </w:r>
      <w:r w:rsidRPr="0041344B">
        <w:rPr>
          <w:rFonts w:ascii="Times New Roman" w:hAnsi="Times New Roman" w:cs="Times New Roman"/>
          <w:bCs/>
          <w:color w:val="000000"/>
          <w:sz w:val="24"/>
          <w:szCs w:val="24"/>
        </w:rPr>
        <w:t>.2</w:t>
      </w:r>
      <w:r w:rsidR="0005098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64294D" w:rsidRDefault="00050989" w:rsidP="00050989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462881" cy="6911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27" cy="69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4D" w:rsidRPr="00050989" w:rsidRDefault="00050989" w:rsidP="00050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результатів проектування виливка</w:t>
      </w:r>
    </w:p>
    <w:p w:rsidR="0064294D" w:rsidRDefault="00050989" w:rsidP="00050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989">
        <w:rPr>
          <w:rFonts w:ascii="Times New Roman" w:hAnsi="Times New Roman" w:cs="Times New Roman"/>
          <w:bCs/>
          <w:color w:val="000000"/>
          <w:sz w:val="24"/>
          <w:szCs w:val="24"/>
        </w:rPr>
        <w:t>Табл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иця 7</w:t>
      </w:r>
      <w:r w:rsidRPr="00050989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</w:p>
    <w:p w:rsidR="00050989" w:rsidRDefault="00050989" w:rsidP="00BB531E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433777" cy="1055728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560" cy="107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989" w:rsidRDefault="006A41F7" w:rsidP="0099366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Завдання.</w:t>
      </w:r>
    </w:p>
    <w:p w:rsidR="006A41F7" w:rsidRDefault="0099366B" w:rsidP="0099366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деталі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, представленої на рис. 7.2, виконати ескізи моделі та стрижня (для чавунного відливання) з проставленням на них розмірів, врахувавши пункти 1 – 3.</w:t>
      </w:r>
    </w:p>
    <w:p w:rsidR="0099366B" w:rsidRDefault="0099366B" w:rsidP="0099366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Виконати розрахунки по пунктам 4 – 7.</w:t>
      </w:r>
    </w:p>
    <w:p w:rsidR="0099366B" w:rsidRPr="0099366B" w:rsidRDefault="0099366B" w:rsidP="0099366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Результати розрахунків занести до табл. 7.3.</w:t>
      </w:r>
    </w:p>
    <w:p w:rsidR="00050989" w:rsidRP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3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Зміст звіту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Мета роботи. 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Короткі теоретичні відомості. 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3. Результати експериме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нту занести в протокол (табл. 7</w:t>
      </w: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.3). </w:t>
      </w:r>
    </w:p>
    <w:p w:rsidR="00050989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4. Висновки.</w:t>
      </w:r>
    </w:p>
    <w:p w:rsidR="00050989" w:rsidRPr="00BB531E" w:rsidRDefault="00BB531E" w:rsidP="00BB531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 w:rsidRPr="00BB531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Контрольні запитання і завдання</w:t>
      </w:r>
      <w:r w:rsidRPr="00BB531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.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Перерахуйте елементи ливникової системи. 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Послідовність операцій виготовлення виливка. 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3. Співвідношення поперечних перерізів живильника, шлаковловлювача і стояка.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Що входить до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модельно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-стрижневого оснащення? </w:t>
      </w:r>
    </w:p>
    <w:p w:rsidR="00050989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 З якого матеріалу виготовляють моделі?</w:t>
      </w:r>
    </w:p>
    <w:p w:rsidR="00050989" w:rsidRPr="00BB531E" w:rsidRDefault="00BB531E" w:rsidP="00BB531E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Джерела інформації.</w:t>
      </w:r>
    </w:p>
    <w:p w:rsidR="00050989" w:rsidRPr="00BB531E" w:rsidRDefault="00BB531E" w:rsidP="00BB5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Смирнов А.А.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Производство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оливок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чугунка: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учеб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пособие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./ А. Н. Смирнов, И. В.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Рейлих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– </w:t>
      </w:r>
      <w:proofErr w:type="spellStart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Донецк</w:t>
      </w:r>
      <w:proofErr w:type="spellEnd"/>
      <w:r w:rsidRPr="00BB531E">
        <w:rPr>
          <w:rFonts w:ascii="Times New Roman" w:hAnsi="Times New Roman" w:cs="Times New Roman"/>
          <w:bCs/>
          <w:color w:val="000000"/>
          <w:sz w:val="24"/>
          <w:szCs w:val="24"/>
        </w:rPr>
        <w:t>: Норд-Пресс, 2005. – 245с.</w:t>
      </w:r>
    </w:p>
    <w:p w:rsidR="00BB531E" w:rsidRPr="00643A3C" w:rsidRDefault="00643A3C" w:rsidP="00643A3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Технологія конструкційних матеріалів і матеріа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лознавства. Практикум.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сіб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/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В.Попович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А.І.Кондер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А.І.Плешаков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ін. – Л.: Світ 2009 – 552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B531E" w:rsidRPr="00643A3C" w:rsidRDefault="00643A3C" w:rsidP="00643A3C">
      <w:pPr>
        <w:autoSpaceDE w:val="0"/>
        <w:autoSpaceDN w:val="0"/>
        <w:adjustRightInd w:val="0"/>
        <w:spacing w:before="24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Інтернет ресурси.</w:t>
      </w:r>
    </w:p>
    <w:p w:rsidR="00BB531E" w:rsidRPr="00BA42F2" w:rsidRDefault="00BA42F2" w:rsidP="00BA42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1" w:history="1">
        <w:r w:rsidRPr="00BA42F2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https://www.youtube.com/watch?v=xtalu24D_-k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42F2">
        <w:rPr>
          <w:rFonts w:ascii="Times New Roman" w:hAnsi="Times New Roman" w:cs="Times New Roman"/>
          <w:bCs/>
          <w:color w:val="000000"/>
          <w:sz w:val="24"/>
          <w:szCs w:val="24"/>
        </w:rPr>
        <w:t>лиття в разові піщані форми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531E" w:rsidRPr="00050989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BB531E" w:rsidRPr="00050989" w:rsidSect="00A7421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1BFA"/>
    <w:multiLevelType w:val="hybridMultilevel"/>
    <w:tmpl w:val="83D0274C"/>
    <w:lvl w:ilvl="0" w:tplc="D2EE7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CF7233"/>
    <w:multiLevelType w:val="hybridMultilevel"/>
    <w:tmpl w:val="C6846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323B4E"/>
    <w:multiLevelType w:val="hybridMultilevel"/>
    <w:tmpl w:val="48068194"/>
    <w:lvl w:ilvl="0" w:tplc="B8E25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10"/>
    <w:rsid w:val="00050989"/>
    <w:rsid w:val="001B565C"/>
    <w:rsid w:val="002143B0"/>
    <w:rsid w:val="003521F7"/>
    <w:rsid w:val="0041344B"/>
    <w:rsid w:val="00595014"/>
    <w:rsid w:val="005D4E96"/>
    <w:rsid w:val="0064294D"/>
    <w:rsid w:val="00643A3C"/>
    <w:rsid w:val="006A41F7"/>
    <w:rsid w:val="008A0095"/>
    <w:rsid w:val="008D1B0C"/>
    <w:rsid w:val="0099366B"/>
    <w:rsid w:val="009B080E"/>
    <w:rsid w:val="00A74210"/>
    <w:rsid w:val="00AB0F12"/>
    <w:rsid w:val="00AE0CDF"/>
    <w:rsid w:val="00B121AC"/>
    <w:rsid w:val="00BA42F2"/>
    <w:rsid w:val="00BB531E"/>
    <w:rsid w:val="00C57C97"/>
    <w:rsid w:val="00E2129A"/>
    <w:rsid w:val="00E868BC"/>
    <w:rsid w:val="00E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4D93"/>
  <w15:chartTrackingRefBased/>
  <w15:docId w15:val="{59680430-D777-4A1C-BC24-85AB015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C97"/>
    <w:rPr>
      <w:color w:val="808080"/>
    </w:rPr>
  </w:style>
  <w:style w:type="paragraph" w:styleId="a4">
    <w:name w:val="List Paragraph"/>
    <w:basedOn w:val="a"/>
    <w:uiPriority w:val="34"/>
    <w:qFormat/>
    <w:rsid w:val="009B08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4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xtalu24D_-k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9</cp:revision>
  <dcterms:created xsi:type="dcterms:W3CDTF">2021-04-26T22:52:00Z</dcterms:created>
  <dcterms:modified xsi:type="dcterms:W3CDTF">2021-04-29T01:58:00Z</dcterms:modified>
</cp:coreProperties>
</file>